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rPr>
          <w:sz w:val="84"/>
          <w:szCs w:val="84"/>
        </w:rPr>
      </w:pPr>
      <w:r>
        <w:rPr>
          <w:sz w:val="84"/>
          <w:szCs w:val="84"/>
        </w:rPr>
        <w:t> </w:t>
      </w:r>
    </w:p>
    <w:p>
      <w:pPr>
        <w:pStyle w:val="2"/>
        <w:shd w:val="clear" w:color="auto" w:fill="FFFFFF"/>
        <w:jc w:val="center"/>
        <w:rPr>
          <w:b/>
          <w:bCs/>
          <w:sz w:val="84"/>
          <w:szCs w:val="84"/>
        </w:rPr>
      </w:pPr>
      <w:r>
        <w:rPr>
          <w:b/>
          <w:bCs/>
          <w:sz w:val="84"/>
          <w:szCs w:val="84"/>
        </w:rPr>
        <w:t>2021年度甘肃省兰州北山生态建设管护中心部门决算</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bookmarkStart w:id="0" w:name="_GoBack"/>
      <w:bookmarkEnd w:id="0"/>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rPr>
          <w:rStyle w:val="5"/>
        </w:rPr>
        <w:t>目录</w:t>
      </w:r>
    </w:p>
    <w:p>
      <w:pPr>
        <w:pStyle w:val="2"/>
        <w:shd w:val="clear" w:color="auto" w:fill="FFFFFF"/>
      </w:pPr>
      <w:r>
        <w:rPr>
          <w:rStyle w:val="5"/>
        </w:rPr>
        <w:t>第一部分 部门概括</w:t>
      </w:r>
    </w:p>
    <w:p>
      <w:pPr>
        <w:pStyle w:val="2"/>
        <w:shd w:val="clear" w:color="auto" w:fill="FFFFFF"/>
      </w:pPr>
      <w:r>
        <w:t>一、部门职责</w:t>
      </w:r>
    </w:p>
    <w:p>
      <w:pPr>
        <w:pStyle w:val="2"/>
        <w:shd w:val="clear" w:color="auto" w:fill="FFFFFF"/>
      </w:pPr>
      <w:r>
        <w:t>二、机构设置</w:t>
      </w:r>
    </w:p>
    <w:p>
      <w:pPr>
        <w:pStyle w:val="2"/>
        <w:shd w:val="clear" w:color="auto" w:fill="FFFFFF"/>
      </w:pPr>
      <w:r>
        <w:rPr>
          <w:rStyle w:val="5"/>
        </w:rPr>
        <w:t>第二部分 2021年度部门决算表</w:t>
      </w:r>
    </w:p>
    <w:p>
      <w:pPr>
        <w:pStyle w:val="2"/>
        <w:shd w:val="clear" w:color="auto" w:fill="FFFFFF"/>
      </w:pPr>
      <w:r>
        <w:t>一、收入支出决算总表</w:t>
      </w:r>
    </w:p>
    <w:p>
      <w:pPr>
        <w:pStyle w:val="2"/>
        <w:shd w:val="clear" w:color="auto" w:fill="FFFFFF"/>
      </w:pPr>
      <w:r>
        <w:t>二、收入决算表</w:t>
      </w:r>
    </w:p>
    <w:p>
      <w:pPr>
        <w:pStyle w:val="2"/>
        <w:shd w:val="clear" w:color="auto" w:fill="FFFFFF"/>
      </w:pPr>
      <w:r>
        <w:t>三、支出决算表</w:t>
      </w:r>
    </w:p>
    <w:p>
      <w:pPr>
        <w:pStyle w:val="2"/>
        <w:shd w:val="clear" w:color="auto" w:fill="FFFFFF"/>
      </w:pPr>
      <w:r>
        <w:t>四、财政拨款收入支出决算总表</w:t>
      </w:r>
    </w:p>
    <w:p>
      <w:pPr>
        <w:pStyle w:val="2"/>
        <w:shd w:val="clear" w:color="auto" w:fill="FFFFFF"/>
      </w:pPr>
      <w:r>
        <w:t>五、一般公共预算财政拨款支出决算表</w:t>
      </w:r>
    </w:p>
    <w:p>
      <w:pPr>
        <w:pStyle w:val="2"/>
        <w:shd w:val="clear" w:color="auto" w:fill="FFFFFF"/>
      </w:pPr>
      <w:r>
        <w:t>六、一般公共预算财政拨款基本支出决算表</w:t>
      </w:r>
    </w:p>
    <w:p>
      <w:pPr>
        <w:pStyle w:val="2"/>
        <w:shd w:val="clear" w:color="auto" w:fill="FFFFFF"/>
      </w:pPr>
      <w:r>
        <w:t>七、一般公共预算财政拨款“三公”经费支出决算表</w:t>
      </w:r>
    </w:p>
    <w:p>
      <w:pPr>
        <w:pStyle w:val="2"/>
        <w:shd w:val="clear" w:color="auto" w:fill="FFFFFF"/>
      </w:pPr>
      <w:r>
        <w:t>八、政府性基金预算财政拨款收入支出决算表</w:t>
      </w:r>
    </w:p>
    <w:p>
      <w:pPr>
        <w:pStyle w:val="2"/>
        <w:shd w:val="clear" w:color="auto" w:fill="FFFFFF"/>
      </w:pPr>
      <w:r>
        <w:t>九、国有资本经营预算财政拨款支出决算表</w:t>
      </w:r>
    </w:p>
    <w:p>
      <w:pPr>
        <w:pStyle w:val="2"/>
        <w:shd w:val="clear" w:color="auto" w:fill="FFFFFF"/>
      </w:pPr>
      <w:r>
        <w:rPr>
          <w:rStyle w:val="5"/>
        </w:rPr>
        <w:t>第三部分 2021年度部门决算情况说明</w:t>
      </w:r>
    </w:p>
    <w:p>
      <w:pPr>
        <w:pStyle w:val="2"/>
        <w:shd w:val="clear" w:color="auto" w:fill="FFFFFF"/>
      </w:pPr>
      <w:r>
        <w:t>一、收入支出决算总体情况说明</w:t>
      </w:r>
    </w:p>
    <w:p>
      <w:pPr>
        <w:pStyle w:val="2"/>
        <w:shd w:val="clear" w:color="auto" w:fill="FFFFFF"/>
      </w:pPr>
      <w:r>
        <w:t>二、收入决算情况说明</w:t>
      </w:r>
    </w:p>
    <w:p>
      <w:pPr>
        <w:pStyle w:val="2"/>
        <w:shd w:val="clear" w:color="auto" w:fill="FFFFFF"/>
      </w:pPr>
      <w:r>
        <w:t>三、支出决算情况说明</w:t>
      </w:r>
    </w:p>
    <w:p>
      <w:pPr>
        <w:pStyle w:val="2"/>
        <w:shd w:val="clear" w:color="auto" w:fill="FFFFFF"/>
      </w:pPr>
      <w:r>
        <w:t>四、财政拨款收入支出决算总体情况说明</w:t>
      </w:r>
    </w:p>
    <w:p>
      <w:pPr>
        <w:pStyle w:val="2"/>
        <w:shd w:val="clear" w:color="auto" w:fill="FFFFFF"/>
      </w:pPr>
      <w:r>
        <w:t>五、一般公共预算财政拨款支出决算情况说明</w:t>
      </w:r>
    </w:p>
    <w:p>
      <w:pPr>
        <w:pStyle w:val="2"/>
        <w:shd w:val="clear" w:color="auto" w:fill="FFFFFF"/>
      </w:pPr>
      <w:r>
        <w:t>六、一般公共预算财政拨款基本支出决算情况说明</w:t>
      </w:r>
    </w:p>
    <w:p>
      <w:pPr>
        <w:pStyle w:val="2"/>
        <w:shd w:val="clear" w:color="auto" w:fill="FFFFFF"/>
      </w:pPr>
      <w:r>
        <w:t>七、一般公共预算财政拨款“三公”经费支出决算情况说明</w:t>
      </w:r>
    </w:p>
    <w:p>
      <w:pPr>
        <w:pStyle w:val="2"/>
        <w:shd w:val="clear" w:color="auto" w:fill="FFFFFF"/>
      </w:pPr>
      <w:r>
        <w:t>八、机关运行经费支出情况说明</w:t>
      </w:r>
    </w:p>
    <w:p>
      <w:pPr>
        <w:pStyle w:val="2"/>
        <w:shd w:val="clear" w:color="auto" w:fill="FFFFFF"/>
      </w:pPr>
      <w:r>
        <w:t>九、政府采购支出情况说明</w:t>
      </w:r>
    </w:p>
    <w:p>
      <w:pPr>
        <w:pStyle w:val="2"/>
        <w:shd w:val="clear" w:color="auto" w:fill="FFFFFF"/>
      </w:pPr>
      <w:r>
        <w:t>十、国有资产占用情况说明</w:t>
      </w:r>
    </w:p>
    <w:p>
      <w:pPr>
        <w:pStyle w:val="2"/>
        <w:shd w:val="clear" w:color="auto" w:fill="FFFFFF"/>
      </w:pPr>
      <w:r>
        <w:t>十一、政府性基金预算财政拨款收支决算情况说明</w:t>
      </w:r>
    </w:p>
    <w:p>
      <w:pPr>
        <w:pStyle w:val="2"/>
        <w:shd w:val="clear" w:color="auto" w:fill="FFFFFF"/>
      </w:pPr>
      <w:r>
        <w:t>十二、国有资本经营预算财政拨款支出情况说明</w:t>
      </w:r>
    </w:p>
    <w:p>
      <w:pPr>
        <w:pStyle w:val="2"/>
        <w:shd w:val="clear" w:color="auto" w:fill="FFFFFF"/>
      </w:pPr>
      <w:r>
        <w:t>十三、预算绩效情况说明</w:t>
      </w:r>
    </w:p>
    <w:p>
      <w:pPr>
        <w:pStyle w:val="2"/>
        <w:shd w:val="clear" w:color="auto" w:fill="FFFFFF"/>
      </w:pPr>
      <w:r>
        <w:rPr>
          <w:rStyle w:val="5"/>
        </w:rPr>
        <w:t>第四部分 名词解释</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t> </w:t>
      </w:r>
    </w:p>
    <w:p>
      <w:pPr>
        <w:pStyle w:val="2"/>
        <w:shd w:val="clear" w:color="auto" w:fill="FFFFFF"/>
        <w:jc w:val="center"/>
      </w:pPr>
      <w:r>
        <w:rPr>
          <w:rStyle w:val="5"/>
        </w:rPr>
        <w:t>第一部分 部门概括</w:t>
      </w:r>
    </w:p>
    <w:p>
      <w:pPr>
        <w:pStyle w:val="2"/>
        <w:shd w:val="clear" w:color="auto" w:fill="FFFFFF"/>
        <w:rPr>
          <w:rFonts w:hint="eastAsia"/>
        </w:rPr>
      </w:pPr>
      <w:r>
        <w:rPr>
          <w:rFonts w:hint="eastAsia"/>
        </w:rPr>
        <w:t>一、部门职责</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财务部门是单位内部实施财务管理的具体职能部门，主要权责有：</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textAlignment w:val="auto"/>
        <w:rPr>
          <w:rFonts w:hint="eastAsia"/>
        </w:rPr>
      </w:pPr>
      <w:r>
        <w:rPr>
          <w:rFonts w:hint="eastAsia"/>
        </w:rPr>
        <w:t>负责单位财务计划的编制、执行、检查、分析与考核、及时向单位领导提供决策依据；</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textAlignment w:val="auto"/>
        <w:rPr>
          <w:rFonts w:hint="eastAsia"/>
        </w:rPr>
      </w:pPr>
      <w:r>
        <w:rPr>
          <w:rFonts w:hint="eastAsia"/>
        </w:rPr>
        <w:t>贯彻执行上级主管部门的有关财务政策，协调单位同地方各级财政、税务、银行、工商、保险等各方面关系；</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textAlignment w:val="auto"/>
        <w:rPr>
          <w:rFonts w:hint="eastAsia"/>
        </w:rPr>
      </w:pPr>
      <w:r>
        <w:rPr>
          <w:rFonts w:hint="eastAsia"/>
        </w:rPr>
        <w:t>具体制定单位内部财务管理办法，组织指导基层单位的财务管理和经济核算；</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textAlignment w:val="auto"/>
        <w:rPr>
          <w:rFonts w:hint="eastAsia"/>
        </w:rPr>
      </w:pPr>
      <w:r>
        <w:rPr>
          <w:rFonts w:hint="eastAsia"/>
        </w:rPr>
        <w:t>如实反映本单位的财务状况，监督财务收支，依法计算及时缴纳国家相关税收，按时向有关方面报送财务决算；</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textAlignment w:val="auto"/>
        <w:rPr>
          <w:rFonts w:hint="eastAsia"/>
        </w:rPr>
      </w:pPr>
      <w:r>
        <w:rPr>
          <w:rFonts w:hint="eastAsia"/>
        </w:rPr>
        <w:t>统一调度单位资金，统筹处理财务工作中出现的问题，完成单位领导交办的其他财务事项。</w:t>
      </w:r>
    </w:p>
    <w:p>
      <w:pPr>
        <w:pStyle w:val="2"/>
        <w:shd w:val="clear" w:color="auto" w:fill="FFFFFF"/>
        <w:rPr>
          <w:rFonts w:hint="eastAsia"/>
        </w:rPr>
      </w:pPr>
      <w:r>
        <w:rPr>
          <w:rFonts w:hint="eastAsia"/>
          <w:lang w:val="en-US" w:eastAsia="zh-CN"/>
        </w:rPr>
        <w:t>二</w:t>
      </w:r>
      <w:r>
        <w:rPr>
          <w:rFonts w:hint="eastAsia"/>
        </w:rPr>
        <w:t>、机构设置</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rPr>
      </w:pPr>
      <w:r>
        <w:rPr>
          <w:rFonts w:hint="eastAsia"/>
        </w:rPr>
        <w:t>1.主要职能。</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甘肃省兰州北山生态建设管护中心主要职能为加强生态建设，发展、保护、培育森林资源。保护和扩大辖区内的森林资源，负责林区森林防火、林政执法、禁种铲毒、林业有害生物防治和检验检疫，负责林区森林资源监测、调查规划、作业设计等工作，依法管理保护林地和森林、保护野生动植物资源、生态与林业科学研究、应用、推广和普及等工作。</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rPr>
      </w:pPr>
      <w:r>
        <w:rPr>
          <w:rFonts w:hint="eastAsia"/>
        </w:rPr>
        <w:t>2.机构情况。</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pPr>
      <w:r>
        <w:rPr>
          <w:rFonts w:hint="eastAsia"/>
        </w:rPr>
        <w:t>我中心成立于2019年3月，隶属于甘肃省白龙江林业保护中心，是国有林场改革中整合原洮河、迭部、舟曲、白水江4个林业局林区外单位组建的一个以森林资源培育、保护为主，集林业有害生物防治、检疫和林业科学研究、应用、推广为一体的省属正县级公益性一类事业单位。甘肃省白龙江林业管理局兰州北山生态建设局于2018年12月经中共省编委批复同意建立（甘编委复字（2018）5号），为甘肃省白龙江林业管理局所属事业单位，根据《中共甘肃省白龙江林业保护中心委员会关于直属部分事业单位更名的通知》（甘林党发〔2021〕41号）文件精神，甘肃省白龙江林业管理局兰州北山生态建设局更名为甘肃省兰州北山生态建设管护中心，资金来源为一般公共预算财政拨款，纳入2021年度部门决算汇编范围的独立核算单位1个。我中心内设12个科室，下设8个直属单位，总经营面积87.55万亩，现有在册职工256人，退休人员31人，遗属人员21人，与上年相比退休增加5人，遗属人员增加3人。</w:t>
      </w:r>
    </w:p>
    <w:p>
      <w:pPr>
        <w:pStyle w:val="2"/>
        <w:shd w:val="clear" w:color="auto" w:fill="FFFFFF"/>
        <w:jc w:val="center"/>
      </w:pPr>
      <w:r>
        <w:rPr>
          <w:rStyle w:val="5"/>
        </w:rPr>
        <w:t>第二部分 2021年度部门决算表</w:t>
      </w:r>
    </w:p>
    <w:p>
      <w:pPr>
        <w:pStyle w:val="2"/>
        <w:shd w:val="clear" w:color="auto" w:fill="FFFFFF"/>
        <w:rPr>
          <w:color w:val="000000" w:themeColor="text1"/>
          <w14:textFill>
            <w14:solidFill>
              <w14:schemeClr w14:val="tx1"/>
            </w14:solidFill>
          </w14:textFill>
        </w:rPr>
      </w:pPr>
      <w:r>
        <w:t>一、收入支出决算总表</w:t>
      </w:r>
      <w:r>
        <w:rPr>
          <w:color w:val="000000" w:themeColor="text1"/>
          <w14:textFill>
            <w14:solidFill>
              <w14:schemeClr w14:val="tx1"/>
            </w14:solidFill>
          </w14:textFill>
        </w:rPr>
        <w:t>（见附件）</w:t>
      </w:r>
    </w:p>
    <w:p>
      <w:pPr>
        <w:pStyle w:val="2"/>
        <w:shd w:val="clear" w:color="auto" w:fill="FFFFFF"/>
        <w:rPr>
          <w:color w:val="000000" w:themeColor="text1"/>
          <w14:textFill>
            <w14:solidFill>
              <w14:schemeClr w14:val="tx1"/>
            </w14:solidFill>
          </w14:textFill>
        </w:rPr>
      </w:pPr>
      <w:r>
        <w:t>二、收入决算表</w:t>
      </w:r>
      <w:r>
        <w:rPr>
          <w:color w:val="000000" w:themeColor="text1"/>
          <w14:textFill>
            <w14:solidFill>
              <w14:schemeClr w14:val="tx1"/>
            </w14:solidFill>
          </w14:textFill>
        </w:rPr>
        <w:t>（见附件）</w:t>
      </w:r>
    </w:p>
    <w:p>
      <w:pPr>
        <w:pStyle w:val="2"/>
        <w:shd w:val="clear" w:color="auto" w:fill="FFFFFF"/>
        <w:rPr>
          <w:color w:val="000000" w:themeColor="text1"/>
          <w14:textFill>
            <w14:solidFill>
              <w14:schemeClr w14:val="tx1"/>
            </w14:solidFill>
          </w14:textFill>
        </w:rPr>
      </w:pPr>
      <w:r>
        <w:t>三、支出决算表</w:t>
      </w:r>
      <w:r>
        <w:rPr>
          <w:color w:val="000000" w:themeColor="text1"/>
          <w14:textFill>
            <w14:solidFill>
              <w14:schemeClr w14:val="tx1"/>
            </w14:solidFill>
          </w14:textFill>
        </w:rPr>
        <w:t>（见附件）</w:t>
      </w:r>
    </w:p>
    <w:p>
      <w:pPr>
        <w:pStyle w:val="2"/>
        <w:shd w:val="clear" w:color="auto" w:fill="FFFFFF"/>
        <w:rPr>
          <w:color w:val="000000" w:themeColor="text1"/>
          <w14:textFill>
            <w14:solidFill>
              <w14:schemeClr w14:val="tx1"/>
            </w14:solidFill>
          </w14:textFill>
        </w:rPr>
      </w:pPr>
      <w:r>
        <w:t>四、财政拨款收入支出决算总表</w:t>
      </w:r>
      <w:r>
        <w:rPr>
          <w:color w:val="000000" w:themeColor="text1"/>
          <w14:textFill>
            <w14:solidFill>
              <w14:schemeClr w14:val="tx1"/>
            </w14:solidFill>
          </w14:textFill>
        </w:rPr>
        <w:t>（见附件）</w:t>
      </w:r>
    </w:p>
    <w:p>
      <w:pPr>
        <w:pStyle w:val="2"/>
        <w:shd w:val="clear" w:color="auto" w:fill="FFFFFF"/>
        <w:rPr>
          <w:color w:val="000000" w:themeColor="text1"/>
          <w14:textFill>
            <w14:solidFill>
              <w14:schemeClr w14:val="tx1"/>
            </w14:solidFill>
          </w14:textFill>
        </w:rPr>
      </w:pPr>
      <w:r>
        <w:t>五、一般公共预算财政拨款支出决算表</w:t>
      </w:r>
      <w:r>
        <w:rPr>
          <w:color w:val="000000" w:themeColor="text1"/>
          <w14:textFill>
            <w14:solidFill>
              <w14:schemeClr w14:val="tx1"/>
            </w14:solidFill>
          </w14:textFill>
        </w:rPr>
        <w:t>（见附件）</w:t>
      </w:r>
    </w:p>
    <w:p>
      <w:pPr>
        <w:pStyle w:val="2"/>
        <w:shd w:val="clear" w:color="auto" w:fill="FFFFFF"/>
      </w:pPr>
      <w:r>
        <w:t>六、一般公共预算财政拨款基本支出决算表</w:t>
      </w:r>
      <w:r>
        <w:rPr>
          <w:color w:val="000000" w:themeColor="text1"/>
          <w14:textFill>
            <w14:solidFill>
              <w14:schemeClr w14:val="tx1"/>
            </w14:solidFill>
          </w14:textFill>
        </w:rPr>
        <w:t>（见附件）</w:t>
      </w:r>
    </w:p>
    <w:p>
      <w:pPr>
        <w:pStyle w:val="2"/>
        <w:shd w:val="clear" w:color="auto" w:fill="FFFFFF"/>
      </w:pPr>
      <w:r>
        <w:t>七、一般公共预算财政拨款“三公”经费支出决算表</w:t>
      </w:r>
    </w:p>
    <w:p>
      <w:pPr>
        <w:pStyle w:val="2"/>
        <w:shd w:val="clear" w:color="auto" w:fill="FFFFFF"/>
      </w:pPr>
      <w:r>
        <w:t>八、政府性基金预算财政拨款收入支出决算表</w:t>
      </w:r>
    </w:p>
    <w:p>
      <w:pPr>
        <w:pStyle w:val="2"/>
        <w:shd w:val="clear" w:color="auto" w:fill="FFFFFF"/>
      </w:pPr>
      <w:r>
        <w:t>九、国有资本经营预算财政拨款支出决算表</w:t>
      </w:r>
    </w:p>
    <w:p>
      <w:pPr>
        <w:pStyle w:val="2"/>
        <w:shd w:val="clear" w:color="auto" w:fill="FFFFFF"/>
        <w:rPr>
          <w:color w:val="000000" w:themeColor="text1"/>
          <w14:textFill>
            <w14:solidFill>
              <w14:schemeClr w14:val="tx1"/>
            </w14:solidFill>
          </w14:textFill>
        </w:rPr>
      </w:pPr>
    </w:p>
    <w:p>
      <w:pPr>
        <w:pStyle w:val="2"/>
        <w:shd w:val="clear" w:color="auto" w:fill="FFFFFF"/>
        <w:jc w:val="center"/>
      </w:pPr>
      <w:r>
        <w:rPr>
          <w:rStyle w:val="5"/>
        </w:rPr>
        <w:t>第三部分 2021年度部门决算情况说明</w:t>
      </w:r>
    </w:p>
    <w:p>
      <w:pPr>
        <w:pStyle w:val="2"/>
        <w:shd w:val="clear" w:color="auto" w:fill="FFFFFF"/>
      </w:pPr>
      <w:r>
        <w:t>一、收入支出决算总体情况说明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color w:val="FF0000"/>
          <w:lang w:val="en-US" w:eastAsia="zh-CN"/>
        </w:rPr>
      </w:pPr>
      <w:r>
        <w:rPr>
          <w:color w:val="000000" w:themeColor="text1"/>
          <w14:textFill>
            <w14:solidFill>
              <w14:schemeClr w14:val="tx1"/>
            </w14:solidFill>
          </w14:textFill>
        </w:rPr>
        <w:t>2021年度收</w:t>
      </w:r>
      <w:r>
        <w:rPr>
          <w:rFonts w:hint="eastAsia"/>
          <w:color w:val="000000" w:themeColor="text1"/>
          <w:lang w:val="en-US" w:eastAsia="zh-CN"/>
          <w14:textFill>
            <w14:solidFill>
              <w14:schemeClr w14:val="tx1"/>
            </w14:solidFill>
          </w14:textFill>
        </w:rPr>
        <w:t>入</w:t>
      </w:r>
      <w:r>
        <w:rPr>
          <w:color w:val="000000" w:themeColor="text1"/>
          <w14:textFill>
            <w14:solidFill>
              <w14:schemeClr w14:val="tx1"/>
            </w14:solidFill>
          </w14:textFill>
        </w:rPr>
        <w:t>总计10,657.19万元。收</w:t>
      </w:r>
      <w:r>
        <w:rPr>
          <w:rFonts w:hint="eastAsia"/>
          <w:color w:val="000000" w:themeColor="text1"/>
          <w:lang w:val="en-US" w:eastAsia="zh-CN"/>
          <w14:textFill>
            <w14:solidFill>
              <w14:schemeClr w14:val="tx1"/>
            </w14:solidFill>
          </w14:textFill>
        </w:rPr>
        <w:t>入</w:t>
      </w:r>
      <w:r>
        <w:rPr>
          <w:color w:val="000000" w:themeColor="text1"/>
          <w14:textFill>
            <w14:solidFill>
              <w14:schemeClr w14:val="tx1"/>
            </w14:solidFill>
          </w14:textFill>
        </w:rPr>
        <w:t>较上年决算数增加1,349.06万元,增长14.49%,本部分的收入包括</w:t>
      </w:r>
      <w:r>
        <w:rPr>
          <w:rFonts w:hint="eastAsia"/>
          <w:color w:val="000000" w:themeColor="text1"/>
          <w:lang w:val="en-US" w:eastAsia="zh-CN"/>
          <w14:textFill>
            <w14:solidFill>
              <w14:schemeClr w14:val="tx1"/>
            </w14:solidFill>
          </w14:textFill>
        </w:rPr>
        <w:t>本年财政拨款</w:t>
      </w:r>
      <w:r>
        <w:rPr>
          <w:color w:val="000000" w:themeColor="text1"/>
          <w14:textFill>
            <w14:solidFill>
              <w14:schemeClr w14:val="tx1"/>
            </w14:solidFill>
          </w14:textFill>
        </w:rPr>
        <w:t>收入</w:t>
      </w:r>
      <w:r>
        <w:rPr>
          <w:rFonts w:hint="eastAsia"/>
          <w:color w:val="000000" w:themeColor="text1"/>
          <w:lang w:val="en-US" w:eastAsia="zh-CN"/>
          <w14:textFill>
            <w14:solidFill>
              <w14:schemeClr w14:val="tx1"/>
            </w14:solidFill>
          </w14:textFill>
        </w:rPr>
        <w:t>10348.13万元，上年财政资金结转结余309.06万元。</w:t>
      </w:r>
    </w:p>
    <w:p>
      <w:pPr>
        <w:pStyle w:val="2"/>
        <w:shd w:val="clear" w:color="auto" w:fill="FFFFFF"/>
      </w:pPr>
      <w:r>
        <w:t>二、收入决算情况说明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eastAsia="宋体"/>
          <w:lang w:eastAsia="zh-CN"/>
        </w:rPr>
      </w:pPr>
      <w:r>
        <w:t>2021年度收入合计10,348.13万元，其中：一般公共预算财政拨款收入10,348.13万元，占100.00%</w:t>
      </w:r>
      <w:r>
        <w:rPr>
          <w:rFonts w:hint="eastAsia"/>
          <w:lang w:eastAsia="zh-CN"/>
        </w:rPr>
        <w:t>。</w:t>
      </w:r>
    </w:p>
    <w:p>
      <w:pPr>
        <w:pStyle w:val="2"/>
        <w:shd w:val="clear" w:color="auto" w:fill="FFFFFF"/>
      </w:pPr>
      <w:r>
        <w:t>三、支出决算情况说明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pPr>
      <w:r>
        <w:t>2021年度支出合计4,089.61万元，其中：基本支出523.68万元，占12.81%；项目支出3,565.93万元，占87.19%。</w:t>
      </w:r>
    </w:p>
    <w:p>
      <w:pPr>
        <w:pStyle w:val="2"/>
        <w:shd w:val="clear" w:color="auto" w:fill="FFFFFF"/>
      </w:pPr>
      <w:r>
        <w:t>四、财政拨款收入支出决算总体情况说明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color w:val="000000" w:themeColor="text1"/>
          <w14:textFill>
            <w14:solidFill>
              <w14:schemeClr w14:val="tx1"/>
            </w14:solidFill>
          </w14:textFill>
        </w:rPr>
      </w:pPr>
      <w:r>
        <w:t>2</w:t>
      </w:r>
      <w:r>
        <w:rPr>
          <w:color w:val="000000" w:themeColor="text1"/>
          <w14:textFill>
            <w14:solidFill>
              <w14:schemeClr w14:val="tx1"/>
            </w14:solidFill>
          </w14:textFill>
        </w:rPr>
        <w:t>021年度财政拨款收、支总计10,657.19万元。与2020年相比，财政拨款收、支总计各增加1,349.06万元，增长14.49%。主要原因是</w:t>
      </w:r>
      <w:r>
        <w:rPr>
          <w:rFonts w:hint="eastAsia"/>
          <w:color w:val="000000" w:themeColor="text1"/>
          <w14:textFill>
            <w14:solidFill>
              <w14:schemeClr w14:val="tx1"/>
            </w14:solidFill>
          </w14:textFill>
        </w:rPr>
        <w:t>主要变动原因是2021年职工工资性支出较上年有大幅提高，财政拨款预算做出相应调整</w:t>
      </w:r>
      <w:r>
        <w:rPr>
          <w:rFonts w:hint="eastAsia"/>
          <w:color w:val="000000" w:themeColor="text1"/>
          <w:lang w:eastAsia="zh-CN"/>
          <w14:textFill>
            <w14:solidFill>
              <w14:schemeClr w14:val="tx1"/>
            </w14:solidFill>
          </w14:textFill>
        </w:rPr>
        <w:t>，基本建设类项目投资增加，如：黄土高原水土流失项目资金5200万元，秦岭生态保护和修复1040万元。</w:t>
      </w:r>
    </w:p>
    <w:p>
      <w:pPr>
        <w:pStyle w:val="2"/>
        <w:shd w:val="clear" w:color="auto" w:fill="FFFFFF"/>
      </w:pPr>
      <w:r>
        <w:t>五、一般公共预算财政拨款支出决算情况说明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2021年度一般公共预算财政拨款支出4,089.61万元，占本年支出的100.00%，较上年决算数减少4,909.46万元，下降54.56%。主要原因是</w:t>
      </w:r>
      <w:r>
        <w:rPr>
          <w:rFonts w:hint="eastAsia"/>
          <w:color w:val="000000" w:themeColor="text1"/>
          <w14:textFill>
            <w14:solidFill>
              <w14:schemeClr w14:val="tx1"/>
            </w14:solidFill>
          </w14:textFill>
        </w:rPr>
        <w:t>资金下达较晚，错过了项目实施季节，导致项目未完工</w:t>
      </w:r>
      <w:r>
        <w:rPr>
          <w:rFonts w:hint="eastAsia"/>
          <w:color w:val="000000" w:themeColor="text1"/>
          <w:lang w:eastAsia="zh-CN"/>
          <w14:textFill>
            <w14:solidFill>
              <w14:schemeClr w14:val="tx1"/>
            </w14:solidFill>
          </w14:textFill>
        </w:rPr>
        <w:t>。</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eastAsia="宋体"/>
          <w:color w:val="FF0000"/>
          <w:lang w:eastAsia="zh-CN"/>
        </w:rPr>
      </w:pPr>
      <w:r>
        <w:rPr>
          <w:rStyle w:val="5"/>
        </w:rPr>
        <w:t>1．节能环保支出</w:t>
      </w:r>
      <w:r>
        <w:t>年初预算数为2,240.55万元，支出决算为2,240.55万元，完成年初预算的100.00%</w:t>
      </w:r>
      <w:r>
        <w:rPr>
          <w:rFonts w:hint="eastAsia"/>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color w:val="FF0000"/>
        </w:rPr>
      </w:pPr>
      <w:r>
        <w:rPr>
          <w:rStyle w:val="5"/>
        </w:rPr>
        <w:t>2．农林水支出</w:t>
      </w:r>
      <w:r>
        <w:t>年初预算数为1,641.39万元，支出决算为1,641.39万元，完成年初预算的100.00%</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eastAsia="宋体"/>
          <w:color w:val="FF0000"/>
          <w:lang w:eastAsia="zh-CN"/>
        </w:rPr>
      </w:pPr>
      <w:r>
        <w:rPr>
          <w:rStyle w:val="5"/>
        </w:rPr>
        <w:t>3．交通运输支出</w:t>
      </w:r>
      <w:r>
        <w:t>年初预算数为207.67万元，支出决算为207.67万元，完成年初预算的100.00%</w:t>
      </w:r>
      <w:r>
        <w:rPr>
          <w:rFonts w:hint="eastAsia"/>
          <w:lang w:eastAsia="zh-CN"/>
        </w:rPr>
        <w:t>。</w:t>
      </w:r>
    </w:p>
    <w:p>
      <w:pPr>
        <w:pStyle w:val="2"/>
        <w:shd w:val="clear" w:color="auto" w:fill="FFFFFF"/>
      </w:pPr>
      <w:r>
        <w:t>六、一般公共预算财政拨款基本支出决算情况说明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2021年度一般公共预算财政拨款基本支出523.68万元。其中：</w:t>
      </w:r>
      <w:r>
        <w:rPr>
          <w:rStyle w:val="5"/>
          <w:color w:val="000000" w:themeColor="text1"/>
          <w14:textFill>
            <w14:solidFill>
              <w14:schemeClr w14:val="tx1"/>
            </w14:solidFill>
          </w14:textFill>
        </w:rPr>
        <w:t>人员经费</w:t>
      </w:r>
      <w:r>
        <w:rPr>
          <w:color w:val="000000" w:themeColor="text1"/>
          <w14:textFill>
            <w14:solidFill>
              <w14:schemeClr w14:val="tx1"/>
            </w14:solidFill>
          </w14:textFill>
        </w:rPr>
        <w:t>523.68万元，较上年决算数增加141.55万元，增长37.04%，主要原因是</w:t>
      </w:r>
      <w:r>
        <w:rPr>
          <w:rFonts w:hint="eastAsia"/>
          <w:color w:val="000000" w:themeColor="text1"/>
          <w14:textFill>
            <w14:solidFill>
              <w14:schemeClr w14:val="tx1"/>
            </w14:solidFill>
          </w14:textFill>
        </w:rPr>
        <w:t>2021年职工工资性支出较上年有大幅提高，财政拨款预算做出相应调整</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人员经费用途主要包括</w:t>
      </w:r>
      <w:r>
        <w:rPr>
          <w:rFonts w:hint="eastAsia"/>
          <w:color w:val="000000" w:themeColor="text1"/>
          <w:lang w:val="en-US" w:eastAsia="zh-CN"/>
          <w14:textFill>
            <w14:solidFill>
              <w14:schemeClr w14:val="tx1"/>
            </w14:solidFill>
          </w14:textFill>
        </w:rPr>
        <w:t>业绩考核奖及平安甘肃奖。</w:t>
      </w:r>
    </w:p>
    <w:p>
      <w:pPr>
        <w:pStyle w:val="2"/>
        <w:shd w:val="clear" w:color="auto" w:fill="FFFFFF"/>
      </w:pPr>
      <w:r>
        <w:t>七、一般公共预算财政拨款“三公”经费支出决算情况说明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我单位属于财政</w:t>
      </w:r>
      <w:r>
        <w:rPr>
          <w:color w:val="000000" w:themeColor="text1"/>
          <w14:textFill>
            <w14:solidFill>
              <w14:schemeClr w14:val="tx1"/>
            </w14:solidFill>
          </w14:textFill>
        </w:rPr>
        <w:t>差额拨款单位，无“三公”经费支出的，财政未保障我单位“三公”经费。</w:t>
      </w:r>
    </w:p>
    <w:p>
      <w:pPr>
        <w:pStyle w:val="2"/>
        <w:shd w:val="clear" w:color="auto" w:fill="FFFFFF"/>
      </w:pPr>
      <w:r>
        <w:t>八、机关运行经费支出情况说明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pPr>
      <w:r>
        <w:rPr>
          <w:color w:val="000000" w:themeColor="text1"/>
          <w14:textFill>
            <w14:solidFill>
              <w14:schemeClr w14:val="tx1"/>
            </w14:solidFill>
          </w14:textFill>
        </w:rPr>
        <w:t>我单位2021年度无机关运行相关经费。</w:t>
      </w:r>
    </w:p>
    <w:p>
      <w:pPr>
        <w:pStyle w:val="2"/>
        <w:shd w:val="clear" w:color="auto" w:fill="FFFFFF"/>
      </w:pPr>
      <w:r>
        <w:t>九、政府采购支出情况说明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pPr>
      <w:r>
        <w:t>2021年度本部门政府采购支出合计17.85万元，其中：政府采购货物支出17.85万元、政府采购工程支出0.00万元、政府采购服务支出0.00万元。授予中小企业合同金额17.85万元，占政府采购支出总额的100.00%，其中：授予小微企业合同金额17.85万元，占政府采购支出总额的100.00%。</w:t>
      </w:r>
    </w:p>
    <w:p>
      <w:pPr>
        <w:pStyle w:val="2"/>
        <w:shd w:val="clear" w:color="auto" w:fill="FFFFFF"/>
      </w:pPr>
      <w:r>
        <w:t>十、国有资产占用情况说明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pPr>
      <w:r>
        <w:t>截至2021年12月31日，本部门共有车辆2辆，其中，副部（省）级及以上领导用车0辆、主要领导干部用车0辆、机要通信用车0辆、应急保障用车0辆、执法执勤用车0辆，特种专业技术用车</w:t>
      </w:r>
      <w:r>
        <w:rPr>
          <w:rFonts w:hint="eastAsia"/>
          <w:lang w:val="en-US" w:eastAsia="zh-CN"/>
        </w:rPr>
        <w:t>1</w:t>
      </w:r>
      <w:r>
        <w:t>辆，离退休干部用车0辆，其他用车</w:t>
      </w:r>
      <w:r>
        <w:rPr>
          <w:rFonts w:hint="eastAsia"/>
          <w:lang w:val="en-US" w:eastAsia="zh-CN"/>
        </w:rPr>
        <w:t>1</w:t>
      </w:r>
      <w:r>
        <w:t>辆，其他用车主要是用于</w:t>
      </w:r>
      <w:r>
        <w:rPr>
          <w:rFonts w:hint="eastAsia"/>
          <w:lang w:val="en-US" w:eastAsia="zh-CN"/>
        </w:rPr>
        <w:t>开展业务用车。</w:t>
      </w:r>
      <w:r>
        <w:t>单价50万元（含）以上通用设备0台（套），单价100万元（含）以上专用设备0台（套）。</w:t>
      </w:r>
    </w:p>
    <w:p>
      <w:pPr>
        <w:pStyle w:val="2"/>
        <w:shd w:val="clear" w:color="auto" w:fill="FFFFFF"/>
      </w:pPr>
      <w:r>
        <w:t>十一、政府性基金预算财政拨款收支决算情况说明</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pPr>
      <w:r>
        <w:rPr>
          <w:rFonts w:hint="eastAsia"/>
          <w:color w:val="000000" w:themeColor="text1"/>
          <w:lang w:val="en-US" w:eastAsia="zh-CN"/>
          <w14:textFill>
            <w14:solidFill>
              <w14:schemeClr w14:val="tx1"/>
            </w14:solidFill>
          </w14:textFill>
        </w:rPr>
        <w:t>我单位</w:t>
      </w:r>
      <w:r>
        <w:rPr>
          <w:color w:val="000000" w:themeColor="text1"/>
          <w14:textFill>
            <w14:solidFill>
              <w14:schemeClr w14:val="tx1"/>
            </w14:solidFill>
          </w14:textFill>
        </w:rPr>
        <w:t>2021年度无政府性基金收入，也没有使用政府性基金安排的支出。</w:t>
      </w:r>
    </w:p>
    <w:p>
      <w:pPr>
        <w:pStyle w:val="2"/>
        <w:shd w:val="clear" w:color="auto" w:fill="FFFFFF"/>
      </w:pPr>
      <w:r>
        <w:t>十二、国有资本经营预算财政拨款支出情况说明</w:t>
      </w:r>
    </w:p>
    <w:p>
      <w:pPr>
        <w:pStyle w:val="2"/>
        <w:shd w:val="clear" w:color="auto" w:fill="FFFFFF"/>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我单位</w:t>
      </w:r>
      <w:r>
        <w:rPr>
          <w:color w:val="000000" w:themeColor="text1"/>
          <w14:textFill>
            <w14:solidFill>
              <w14:schemeClr w14:val="tx1"/>
            </w14:solidFill>
          </w14:textFill>
        </w:rPr>
        <w:t>2021年度没有使用国有资本经营预算安排的支出。</w:t>
      </w:r>
    </w:p>
    <w:p>
      <w:pPr>
        <w:pStyle w:val="2"/>
        <w:shd w:val="clear" w:color="auto" w:fill="FFFFFF"/>
      </w:pPr>
      <w:r>
        <w:t>十三、预算绩效情况说明</w:t>
      </w:r>
    </w:p>
    <w:p>
      <w:pPr>
        <w:pStyle w:val="2"/>
        <w:numPr>
          <w:ilvl w:val="0"/>
          <w:numId w:val="2"/>
        </w:numPr>
        <w:shd w:val="clear" w:color="auto" w:fill="FFFFFF"/>
        <w:rPr>
          <w:rStyle w:val="5"/>
        </w:rPr>
      </w:pPr>
      <w:r>
        <w:rPr>
          <w:rStyle w:val="5"/>
        </w:rPr>
        <w:t>绩效管理评价工作开展情况。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根据预算绩效管理要求，我</w:t>
      </w:r>
      <w:r>
        <w:rPr>
          <w:rFonts w:hint="eastAsia"/>
          <w:color w:val="000000" w:themeColor="text1"/>
          <w:lang w:val="en-US" w:eastAsia="zh-CN"/>
          <w14:textFill>
            <w14:solidFill>
              <w14:schemeClr w14:val="tx1"/>
            </w14:solidFill>
          </w14:textFill>
        </w:rPr>
        <w:t>单位</w:t>
      </w:r>
      <w:r>
        <w:rPr>
          <w:color w:val="000000" w:themeColor="text1"/>
          <w14:textFill>
            <w14:solidFill>
              <w14:schemeClr w14:val="tx1"/>
            </w14:solidFill>
          </w14:textFill>
        </w:rPr>
        <w:t>组织对2021年度一般公共预算项目支出全面开展绩效自评，其中，一级项目</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个，二级项目</w:t>
      </w:r>
      <w:r>
        <w:rPr>
          <w:rFonts w:hint="eastAsia"/>
          <w:color w:val="000000" w:themeColor="text1"/>
          <w:lang w:val="en-US" w:eastAsia="zh-CN"/>
          <w14:textFill>
            <w14:solidFill>
              <w14:schemeClr w14:val="tx1"/>
            </w14:solidFill>
          </w14:textFill>
        </w:rPr>
        <w:t>11</w:t>
      </w:r>
      <w:r>
        <w:rPr>
          <w:color w:val="000000" w:themeColor="text1"/>
          <w14:textFill>
            <w14:solidFill>
              <w14:schemeClr w14:val="tx1"/>
            </w14:solidFill>
          </w14:textFill>
        </w:rPr>
        <w:t>个，共涉及资金</w:t>
      </w:r>
      <w:r>
        <w:rPr>
          <w:rFonts w:hint="eastAsia"/>
          <w:color w:val="000000" w:themeColor="text1"/>
          <w:lang w:val="en-US" w:eastAsia="zh-CN"/>
          <w14:textFill>
            <w14:solidFill>
              <w14:schemeClr w14:val="tx1"/>
            </w14:solidFill>
          </w14:textFill>
        </w:rPr>
        <w:t>9824.45</w:t>
      </w:r>
      <w:r>
        <w:rPr>
          <w:color w:val="000000" w:themeColor="text1"/>
          <w14:textFill>
            <w14:solidFill>
              <w14:schemeClr w14:val="tx1"/>
            </w14:solidFill>
          </w14:textFill>
        </w:rPr>
        <w:t>万元，占一般公共预算项目支出总额的</w:t>
      </w:r>
      <w:r>
        <w:rPr>
          <w:rFonts w:hint="eastAsia"/>
          <w:color w:val="000000" w:themeColor="text1"/>
          <w:lang w:val="en-US" w:eastAsia="zh-CN"/>
          <w14:textFill>
            <w14:solidFill>
              <w14:schemeClr w14:val="tx1"/>
            </w14:solidFill>
          </w14:textFill>
        </w:rPr>
        <w:t>100</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从评价情况来看，</w:t>
      </w:r>
      <w:r>
        <w:rPr>
          <w:rFonts w:hint="eastAsia"/>
          <w:color w:val="000000" w:themeColor="text1"/>
          <w:lang w:val="en-US" w:eastAsia="zh-CN"/>
          <w14:textFill>
            <w14:solidFill>
              <w14:schemeClr w14:val="tx1"/>
            </w14:solidFill>
          </w14:textFill>
        </w:rPr>
        <w:t>有8个项目结果为“优”，3个项目结果为“中”</w:t>
      </w:r>
      <w:r>
        <w:rPr>
          <w:color w:val="000000" w:themeColor="text1"/>
          <w14:textFill>
            <w14:solidFill>
              <w14:schemeClr w14:val="tx1"/>
            </w14:solidFill>
          </w14:textFill>
        </w:rPr>
        <w:t>。组织对</w:t>
      </w:r>
      <w:r>
        <w:rPr>
          <w:rFonts w:hint="eastAsia"/>
          <w:color w:val="000000" w:themeColor="text1"/>
          <w:lang w:val="en-US" w:eastAsia="zh-CN"/>
          <w14:textFill>
            <w14:solidFill>
              <w14:schemeClr w14:val="tx1"/>
            </w14:solidFill>
          </w14:textFill>
        </w:rPr>
        <w:t>本</w:t>
      </w:r>
      <w:r>
        <w:rPr>
          <w:color w:val="000000" w:themeColor="text1"/>
          <w14:textFill>
            <w14:solidFill>
              <w14:schemeClr w14:val="tx1"/>
            </w14:solidFill>
          </w14:textFill>
        </w:rPr>
        <w:t>单位开展整体支出绩效评价，涉及一般公共预算支出</w:t>
      </w:r>
      <w:r>
        <w:rPr>
          <w:rFonts w:hint="eastAsia"/>
          <w:color w:val="000000" w:themeColor="text1"/>
          <w:lang w:val="en-US" w:eastAsia="zh-CN"/>
          <w14:textFill>
            <w14:solidFill>
              <w14:schemeClr w14:val="tx1"/>
            </w14:solidFill>
          </w14:textFill>
        </w:rPr>
        <w:t>10348.13</w:t>
      </w:r>
      <w:r>
        <w:rPr>
          <w:color w:val="000000" w:themeColor="text1"/>
          <w14:textFill>
            <w14:solidFill>
              <w14:schemeClr w14:val="tx1"/>
            </w14:solidFill>
          </w14:textFill>
        </w:rPr>
        <w:t>万元。从评价情况来看，</w:t>
      </w:r>
      <w:r>
        <w:rPr>
          <w:rFonts w:hint="eastAsia"/>
          <w:color w:val="000000" w:themeColor="text1"/>
          <w:lang w:val="en-US" w:eastAsia="zh-CN"/>
          <w14:textFill>
            <w14:solidFill>
              <w14:schemeClr w14:val="tx1"/>
            </w14:solidFill>
          </w14:textFill>
        </w:rPr>
        <w:t>整体支出绩效目标完成良好，自评得分95分</w:t>
      </w:r>
      <w:r>
        <w:rPr>
          <w:color w:val="000000" w:themeColor="text1"/>
          <w14:textFill>
            <w14:solidFill>
              <w14:schemeClr w14:val="tx1"/>
            </w14:solidFill>
          </w14:textFill>
        </w:rPr>
        <w:t>。</w:t>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left="0" w:leftChars="0" w:firstLine="0" w:firstLineChars="0"/>
        <w:textAlignment w:val="auto"/>
        <w:rPr>
          <w:rStyle w:val="5"/>
          <w:color w:val="000000" w:themeColor="text1"/>
          <w14:textFill>
            <w14:solidFill>
              <w14:schemeClr w14:val="tx1"/>
            </w14:solidFill>
          </w14:textFill>
        </w:rPr>
      </w:pPr>
      <w:r>
        <w:rPr>
          <w:rStyle w:val="5"/>
          <w:color w:val="000000" w:themeColor="text1"/>
          <w14:textFill>
            <w14:solidFill>
              <w14:schemeClr w14:val="tx1"/>
            </w14:solidFill>
          </w14:textFill>
        </w:rPr>
        <w:t>部门决算中项目绩效自评结果（如有）。</w:t>
      </w:r>
    </w:p>
    <w:p>
      <w:pPr>
        <w:pStyle w:val="6"/>
        <w:keepNext w:val="0"/>
        <w:keepLines w:val="0"/>
        <w:pageBreakBefore w:val="0"/>
        <w:widowControl/>
        <w:kinsoku/>
        <w:wordWrap/>
        <w:overflowPunct/>
        <w:topLinePunct w:val="0"/>
        <w:autoSpaceDE/>
        <w:autoSpaceDN/>
        <w:bidi w:val="0"/>
        <w:adjustRightInd/>
        <w:snapToGrid/>
        <w:spacing w:line="360" w:lineRule="auto"/>
        <w:ind w:left="166" w:leftChars="69" w:firstLine="360" w:firstLineChars="150"/>
        <w:jc w:val="left"/>
        <w:textAlignment w:val="auto"/>
        <w:rPr>
          <w:color w:val="000000" w:themeColor="text1"/>
          <w:sz w:val="24"/>
          <w:szCs w:val="24"/>
          <w14:textFill>
            <w14:solidFill>
              <w14:schemeClr w14:val="tx1"/>
            </w14:solidFill>
          </w14:textFill>
        </w:rPr>
      </w:pPr>
      <w:r>
        <w:rPr>
          <w:color w:val="000000" w:themeColor="text1"/>
          <w14:textFill>
            <w14:solidFill>
              <w14:schemeClr w14:val="tx1"/>
            </w14:solidFill>
          </w14:textFill>
        </w:rPr>
        <w:t>我</w:t>
      </w:r>
      <w:r>
        <w:rPr>
          <w:rFonts w:hint="eastAsia"/>
          <w:color w:val="000000" w:themeColor="text1"/>
          <w:lang w:val="en-US" w:eastAsia="zh-CN"/>
          <w14:textFill>
            <w14:solidFill>
              <w14:schemeClr w14:val="tx1"/>
            </w14:solidFill>
          </w14:textFill>
        </w:rPr>
        <w:t>单位</w:t>
      </w:r>
      <w:r>
        <w:rPr>
          <w:color w:val="000000" w:themeColor="text1"/>
          <w14:textFill>
            <w14:solidFill>
              <w14:schemeClr w14:val="tx1"/>
            </w14:solidFill>
          </w14:textFill>
        </w:rPr>
        <w:t xml:space="preserve">今年在省级部门决算中反映 </w:t>
      </w:r>
      <w:r>
        <w:rPr>
          <w:rFonts w:hint="eastAsia"/>
          <w:color w:val="000000" w:themeColor="text1"/>
          <w:lang w:val="en-US" w:eastAsia="zh-CN"/>
          <w14:textFill>
            <w14:solidFill>
              <w14:schemeClr w14:val="tx1"/>
            </w14:solidFill>
          </w14:textFill>
        </w:rPr>
        <w:t>11个</w:t>
      </w:r>
      <w:r>
        <w:rPr>
          <w:color w:val="000000" w:themeColor="text1"/>
          <w14:textFill>
            <w14:solidFill>
              <w14:schemeClr w14:val="tx1"/>
            </w14:solidFill>
          </w14:textFill>
        </w:rPr>
        <w:t>项目绩效自评结果。</w:t>
      </w:r>
      <w:r>
        <w:rPr>
          <w:color w:val="000000" w:themeColor="text1"/>
          <w:sz w:val="24"/>
          <w:szCs w:val="24"/>
          <w14:textFill>
            <w14:solidFill>
              <w14:schemeClr w14:val="tx1"/>
            </w14:solidFill>
          </w14:textFill>
        </w:rPr>
        <w:t xml:space="preserve">根据年初设定的绩效目标，项目绩效自评得分为 </w:t>
      </w:r>
      <w:r>
        <w:rPr>
          <w:rFonts w:hint="eastAsia"/>
          <w:color w:val="000000" w:themeColor="text1"/>
          <w:sz w:val="24"/>
          <w:szCs w:val="24"/>
          <w:lang w:val="en-US" w:eastAsia="zh-CN"/>
          <w14:textFill>
            <w14:solidFill>
              <w14:schemeClr w14:val="tx1"/>
            </w14:solidFill>
          </w14:textFill>
        </w:rPr>
        <w:t>95</w:t>
      </w:r>
      <w:r>
        <w:rPr>
          <w:color w:val="000000" w:themeColor="text1"/>
          <w:sz w:val="24"/>
          <w:szCs w:val="24"/>
          <w14:textFill>
            <w14:solidFill>
              <w14:schemeClr w14:val="tx1"/>
            </w14:solidFill>
          </w14:textFill>
        </w:rPr>
        <w:t>分。</w:t>
      </w:r>
      <w:r>
        <w:rPr>
          <w:rFonts w:hint="eastAsia"/>
          <w:color w:val="000000" w:themeColor="text1"/>
          <w:sz w:val="24"/>
          <w:szCs w:val="24"/>
          <w14:textFill>
            <w14:solidFill>
              <w14:schemeClr w14:val="tx1"/>
            </w14:solidFill>
          </w14:textFill>
        </w:rPr>
        <w:t>项目自评情况分析如下：</w:t>
      </w:r>
    </w:p>
    <w:p>
      <w:pPr>
        <w:keepNext w:val="0"/>
        <w:keepLines w:val="0"/>
        <w:pageBreakBefore w:val="0"/>
        <w:widowControl/>
        <w:kinsoku/>
        <w:wordWrap/>
        <w:overflowPunct/>
        <w:topLinePunct w:val="0"/>
        <w:autoSpaceDE/>
        <w:autoSpaceDN/>
        <w:bidi w:val="0"/>
        <w:adjustRightInd/>
        <w:snapToGrid/>
        <w:spacing w:line="360" w:lineRule="auto"/>
        <w:ind w:left="142"/>
        <w:jc w:val="left"/>
        <w:textAlignment w:val="auto"/>
        <w:rPr>
          <w:sz w:val="24"/>
          <w:szCs w:val="24"/>
        </w:rPr>
      </w:pPr>
      <w:r>
        <w:rPr>
          <w:rFonts w:hint="eastAsia"/>
          <w:sz w:val="24"/>
          <w:szCs w:val="24"/>
        </w:rPr>
        <w:t>（一）天保工程管护项目</w:t>
      </w:r>
    </w:p>
    <w:p>
      <w:pPr>
        <w:pStyle w:val="6"/>
        <w:keepNext w:val="0"/>
        <w:keepLines w:val="0"/>
        <w:pageBreakBefore w:val="0"/>
        <w:widowControl/>
        <w:kinsoku/>
        <w:wordWrap/>
        <w:overflowPunct/>
        <w:topLinePunct w:val="0"/>
        <w:autoSpaceDE/>
        <w:autoSpaceDN/>
        <w:bidi w:val="0"/>
        <w:adjustRightInd/>
        <w:snapToGrid/>
        <w:spacing w:line="360" w:lineRule="auto"/>
        <w:ind w:left="163" w:leftChars="68" w:firstLine="600"/>
        <w:jc w:val="left"/>
        <w:textAlignment w:val="auto"/>
        <w:rPr>
          <w:sz w:val="24"/>
          <w:szCs w:val="24"/>
        </w:rPr>
      </w:pPr>
      <w:r>
        <w:rPr>
          <w:rFonts w:hint="eastAsia"/>
          <w:sz w:val="24"/>
          <w:szCs w:val="24"/>
        </w:rPr>
        <w:t>天保工程下达资金1971.80万元，其中：中央资金957.00万元（社会保险补助资金714.00万元，政社性补助资金243.00万元，年底决算时将社会保险补助资金377.16万元调整到政社性补助），省级天保工程管护下达资金1014.80万元（天保管护974.00万元，退休人员医保补助6.80万元，社会保险补助34.00万元），预算执行率100%，绩效目标指标值与实际完成值一致，无偏差，自评结果为“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（二）森林资源管护项目</w:t>
      </w:r>
    </w:p>
    <w:p>
      <w:pPr>
        <w:pStyle w:val="6"/>
        <w:keepNext w:val="0"/>
        <w:keepLines w:val="0"/>
        <w:pageBreakBefore w:val="0"/>
        <w:widowControl/>
        <w:kinsoku/>
        <w:wordWrap/>
        <w:overflowPunct/>
        <w:topLinePunct w:val="0"/>
        <w:autoSpaceDE/>
        <w:autoSpaceDN/>
        <w:bidi w:val="0"/>
        <w:adjustRightInd/>
        <w:snapToGrid/>
        <w:spacing w:line="360" w:lineRule="auto"/>
        <w:ind w:left="163" w:leftChars="68" w:firstLine="600"/>
        <w:jc w:val="left"/>
        <w:textAlignment w:val="auto"/>
        <w:rPr>
          <w:sz w:val="24"/>
          <w:szCs w:val="24"/>
        </w:rPr>
      </w:pPr>
      <w:r>
        <w:rPr>
          <w:rFonts w:hint="eastAsia"/>
          <w:sz w:val="24"/>
          <w:szCs w:val="24"/>
        </w:rPr>
        <w:t>森林资源管护项目下达中央资金14.20万元，预算执行率100%，绩效目标指标值与实际完成值一致，无偏差，自评结果为“优”。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（三）国有林场改革项目</w:t>
      </w:r>
    </w:p>
    <w:p>
      <w:pPr>
        <w:pStyle w:val="6"/>
        <w:keepNext w:val="0"/>
        <w:keepLines w:val="0"/>
        <w:pageBreakBefore w:val="0"/>
        <w:widowControl/>
        <w:kinsoku/>
        <w:wordWrap/>
        <w:overflowPunct/>
        <w:topLinePunct w:val="0"/>
        <w:autoSpaceDE/>
        <w:autoSpaceDN/>
        <w:bidi w:val="0"/>
        <w:adjustRightInd/>
        <w:snapToGrid/>
        <w:spacing w:line="360" w:lineRule="auto"/>
        <w:ind w:left="163" w:leftChars="68" w:firstLine="600" w:firstLineChars="250"/>
        <w:jc w:val="left"/>
        <w:textAlignment w:val="auto"/>
        <w:rPr>
          <w:sz w:val="24"/>
          <w:szCs w:val="24"/>
        </w:rPr>
      </w:pPr>
      <w:r>
        <w:rPr>
          <w:rFonts w:hint="eastAsia"/>
          <w:sz w:val="24"/>
          <w:szCs w:val="24"/>
        </w:rPr>
        <w:t>国有林场改革项目下达省级资金251.00万元。预算执行率100%，绩效目标指标值与实际完成值一致，无偏差，自评结果为“优”。</w:t>
      </w:r>
    </w:p>
    <w:p>
      <w:pPr>
        <w:keepNext w:val="0"/>
        <w:keepLines w:val="0"/>
        <w:pageBreakBefore w:val="0"/>
        <w:widowControl/>
        <w:kinsoku/>
        <w:wordWrap/>
        <w:overflowPunct/>
        <w:topLinePunct w:val="0"/>
        <w:autoSpaceDE/>
        <w:autoSpaceDN/>
        <w:bidi w:val="0"/>
        <w:adjustRightInd/>
        <w:snapToGrid/>
        <w:spacing w:line="360" w:lineRule="auto"/>
        <w:ind w:left="142"/>
        <w:jc w:val="left"/>
        <w:textAlignment w:val="auto"/>
        <w:rPr>
          <w:sz w:val="24"/>
          <w:szCs w:val="24"/>
        </w:rPr>
      </w:pPr>
      <w:r>
        <w:rPr>
          <w:rFonts w:hint="eastAsia"/>
          <w:sz w:val="24"/>
          <w:szCs w:val="24"/>
        </w:rPr>
        <w:t>（四）森林植被恢复项目</w:t>
      </w:r>
    </w:p>
    <w:p>
      <w:pPr>
        <w:pStyle w:val="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森林植被恢复项目下达省级资金100.00万元，预算执行率5%，有偏差。自评结果为“中”。原因是项目任务下达比较迟，已错过苗木最佳栽植季节，所以截止2021年底只完成项目的基础设施部分，未能进行苗木栽植工作。</w:t>
      </w:r>
    </w:p>
    <w:p>
      <w:pPr>
        <w:keepNext w:val="0"/>
        <w:keepLines w:val="0"/>
        <w:pageBreakBefore w:val="0"/>
        <w:widowControl/>
        <w:kinsoku/>
        <w:wordWrap/>
        <w:overflowPunct/>
        <w:topLinePunct w:val="0"/>
        <w:autoSpaceDE/>
        <w:autoSpaceDN/>
        <w:bidi w:val="0"/>
        <w:adjustRightInd/>
        <w:snapToGrid/>
        <w:spacing w:line="360" w:lineRule="auto"/>
        <w:ind w:left="142"/>
        <w:jc w:val="left"/>
        <w:textAlignment w:val="auto"/>
        <w:rPr>
          <w:sz w:val="24"/>
          <w:szCs w:val="24"/>
        </w:rPr>
      </w:pPr>
      <w:r>
        <w:rPr>
          <w:rFonts w:hint="eastAsia"/>
          <w:sz w:val="24"/>
          <w:szCs w:val="24"/>
        </w:rPr>
        <w:t>（五）森林防火项目</w:t>
      </w:r>
    </w:p>
    <w:p>
      <w:pPr>
        <w:pStyle w:val="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sz w:val="24"/>
          <w:szCs w:val="24"/>
        </w:rPr>
      </w:pPr>
      <w:r>
        <w:rPr>
          <w:rFonts w:hint="eastAsia"/>
          <w:sz w:val="24"/>
          <w:szCs w:val="24"/>
        </w:rPr>
        <w:t>森林防火项目下达省级资金20.00万元，预算执行率100%，绩效目标指标值与实际完成值一致，无偏差，自评结果为“优”。</w:t>
      </w:r>
    </w:p>
    <w:p>
      <w:pPr>
        <w:keepNext w:val="0"/>
        <w:keepLines w:val="0"/>
        <w:pageBreakBefore w:val="0"/>
        <w:widowControl/>
        <w:kinsoku/>
        <w:wordWrap/>
        <w:overflowPunct/>
        <w:topLinePunct w:val="0"/>
        <w:autoSpaceDE/>
        <w:autoSpaceDN/>
        <w:bidi w:val="0"/>
        <w:adjustRightInd/>
        <w:snapToGrid/>
        <w:spacing w:line="360" w:lineRule="auto"/>
        <w:ind w:left="142"/>
        <w:jc w:val="left"/>
        <w:textAlignment w:val="auto"/>
        <w:rPr>
          <w:sz w:val="24"/>
          <w:szCs w:val="24"/>
        </w:rPr>
      </w:pPr>
      <w:r>
        <w:rPr>
          <w:rFonts w:hint="eastAsia"/>
          <w:sz w:val="24"/>
          <w:szCs w:val="24"/>
        </w:rPr>
        <w:t>（六）办公用房租赁项目</w:t>
      </w:r>
    </w:p>
    <w:p>
      <w:pPr>
        <w:pStyle w:val="6"/>
        <w:keepNext w:val="0"/>
        <w:keepLines w:val="0"/>
        <w:pageBreakBefore w:val="0"/>
        <w:widowControl/>
        <w:kinsoku/>
        <w:wordWrap/>
        <w:overflowPunct/>
        <w:topLinePunct w:val="0"/>
        <w:autoSpaceDE/>
        <w:autoSpaceDN/>
        <w:bidi w:val="0"/>
        <w:adjustRightInd/>
        <w:snapToGrid/>
        <w:spacing w:line="360" w:lineRule="auto"/>
        <w:ind w:left="142" w:right="528" w:rightChars="220" w:firstLine="480" w:firstLineChars="200"/>
        <w:jc w:val="left"/>
        <w:textAlignment w:val="auto"/>
        <w:rPr>
          <w:sz w:val="24"/>
          <w:szCs w:val="24"/>
        </w:rPr>
      </w:pPr>
      <w:r>
        <w:rPr>
          <w:rFonts w:hint="eastAsia"/>
          <w:sz w:val="24"/>
          <w:szCs w:val="24"/>
        </w:rPr>
        <w:t>办公用房租赁项目下达资金97.45万元，预算执行率100%，绩效目标指标值与实际完成值一致，无偏差，自评结果为“优”。</w:t>
      </w:r>
    </w:p>
    <w:p>
      <w:pPr>
        <w:pStyle w:val="6"/>
        <w:keepNext w:val="0"/>
        <w:keepLines w:val="0"/>
        <w:pageBreakBefore w:val="0"/>
        <w:widowControl/>
        <w:kinsoku/>
        <w:wordWrap/>
        <w:overflowPunct/>
        <w:topLinePunct w:val="0"/>
        <w:autoSpaceDE/>
        <w:autoSpaceDN/>
        <w:bidi w:val="0"/>
        <w:adjustRightInd/>
        <w:snapToGrid/>
        <w:spacing w:line="360" w:lineRule="auto"/>
        <w:ind w:left="142" w:right="528" w:rightChars="220" w:firstLine="0" w:firstLineChars="0"/>
        <w:jc w:val="left"/>
        <w:textAlignment w:val="auto"/>
        <w:rPr>
          <w:sz w:val="24"/>
          <w:szCs w:val="24"/>
        </w:rPr>
      </w:pPr>
      <w:r>
        <w:rPr>
          <w:rFonts w:hint="eastAsia"/>
          <w:sz w:val="24"/>
          <w:szCs w:val="24"/>
        </w:rPr>
        <w:t>（七）黄土高原水土流失项目</w:t>
      </w:r>
    </w:p>
    <w:p>
      <w:pPr>
        <w:pStyle w:val="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sz w:val="24"/>
          <w:szCs w:val="24"/>
        </w:rPr>
      </w:pPr>
      <w:r>
        <w:rPr>
          <w:rFonts w:hint="eastAsia"/>
          <w:sz w:val="24"/>
          <w:szCs w:val="24"/>
        </w:rPr>
        <w:t>黄土高原水土流失项目下达中央资金5200.00万元，预算执行率7.7%，有偏差。自评结果为“中”。原因是项目任务下达比较迟，已错过项目实施最佳时期，所以截止2021年底发生资金结转5036.25万元。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（八）秦岭生态保护和修复项目</w:t>
      </w:r>
    </w:p>
    <w:p>
      <w:pPr>
        <w:pStyle w:val="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sz w:val="24"/>
          <w:szCs w:val="24"/>
        </w:rPr>
      </w:pPr>
      <w:r>
        <w:rPr>
          <w:rFonts w:hint="eastAsia"/>
          <w:sz w:val="24"/>
          <w:szCs w:val="24"/>
        </w:rPr>
        <w:t>秦岭生态保护和修复项目下达中央资金1040.00万元，预算执行率10.10%，有偏差。自评结果为“中”。原因是项目任务下达比较迟，已错过项目实施最佳时期，所以截止2021年底发生资金结转935.00万元。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（九）国土绿化项目</w:t>
      </w:r>
    </w:p>
    <w:p>
      <w:pPr>
        <w:pStyle w:val="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sz w:val="24"/>
          <w:szCs w:val="24"/>
        </w:rPr>
      </w:pPr>
      <w:r>
        <w:rPr>
          <w:rFonts w:hint="eastAsia"/>
          <w:sz w:val="24"/>
          <w:szCs w:val="24"/>
        </w:rPr>
        <w:t>国土绿化项目下达中央资金1020.00万元，其中：</w:t>
      </w:r>
      <w:r>
        <w:rPr>
          <w:rFonts w:hint="eastAsia"/>
          <w:sz w:val="24"/>
          <w:szCs w:val="24"/>
          <w:lang w:val="en-US" w:eastAsia="zh-CN"/>
        </w:rPr>
        <w:t>1、</w:t>
      </w:r>
      <w:r>
        <w:rPr>
          <w:rFonts w:hint="eastAsia"/>
          <w:sz w:val="24"/>
          <w:szCs w:val="24"/>
        </w:rPr>
        <w:t>造林补贴项目下达资金1000.00万元，结转资金501.33万元。预算执行率49.87%，有偏差。自评结果为“中”。造成资金结转的原因是根据合同约定，2021年、2022年、2023年分期支付工程款。</w:t>
      </w:r>
      <w:r>
        <w:rPr>
          <w:rFonts w:hint="eastAsia"/>
          <w:sz w:val="24"/>
          <w:szCs w:val="24"/>
          <w:lang w:val="en-US" w:eastAsia="zh-CN"/>
        </w:rPr>
        <w:t>2、</w:t>
      </w:r>
      <w:r>
        <w:rPr>
          <w:rFonts w:hint="eastAsia"/>
          <w:sz w:val="24"/>
          <w:szCs w:val="24"/>
        </w:rPr>
        <w:t>森木良种培育资金20.00万元，预算执行率100%。无偏差。自评结果为“优”。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（十）湿地保护项目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sz w:val="24"/>
          <w:szCs w:val="24"/>
        </w:rPr>
        <w:t>湿地保护项目下达中央资金15.00万元，主要用于病虫害防治。预算执行率100%，无偏差。自评结果为“优”。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（十一）中央财政专项扶贫项目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sz w:val="24"/>
          <w:szCs w:val="24"/>
        </w:rPr>
        <w:t>中央财政专项扶贫项目下达中央资金95.00万元，预算执行100%，无偏差，自评结果为“优”。</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480" w:firstLineChars="200"/>
        <w:textAlignment w:val="auto"/>
        <w:rPr>
          <w:sz w:val="24"/>
          <w:szCs w:val="24"/>
        </w:rPr>
      </w:pPr>
      <w:r>
        <w:rPr>
          <w:sz w:val="24"/>
          <w:szCs w:val="24"/>
        </w:rPr>
        <w:t>发现的主要问题是</w:t>
      </w:r>
      <w:r>
        <w:rPr>
          <w:rFonts w:hint="eastAsia"/>
          <w:sz w:val="24"/>
          <w:szCs w:val="24"/>
          <w:lang w:eastAsia="zh-CN"/>
        </w:rPr>
        <w:t>：</w:t>
      </w:r>
      <w:r>
        <w:rPr>
          <w:rFonts w:hint="eastAsia"/>
          <w:sz w:val="24"/>
          <w:szCs w:val="24"/>
          <w:lang w:val="en-US" w:eastAsia="zh-CN"/>
        </w:rPr>
        <w:t>有个别项目指标值设计不合理，起不到考核的目的</w:t>
      </w:r>
      <w:r>
        <w:rPr>
          <w:sz w:val="24"/>
          <w:szCs w:val="24"/>
        </w:rPr>
        <w:t>；下一步改进措施：</w:t>
      </w:r>
      <w:r>
        <w:rPr>
          <w:rFonts w:hint="eastAsia"/>
          <w:sz w:val="24"/>
          <w:szCs w:val="24"/>
          <w:lang w:val="en-US" w:eastAsia="zh-CN"/>
        </w:rPr>
        <w:t>以后在设计指标值的时候尽量贴合本单位项目实际设定目标值，真正起到监控目的，而不是虚设。</w:t>
      </w:r>
    </w:p>
    <w:p>
      <w:pPr>
        <w:pStyle w:val="2"/>
        <w:shd w:val="clear" w:color="auto" w:fill="FFFFFF"/>
      </w:pPr>
    </w:p>
    <w:p>
      <w:pPr>
        <w:pStyle w:val="2"/>
        <w:shd w:val="clear" w:color="auto" w:fill="FFFFFF"/>
        <w:jc w:val="center"/>
      </w:pPr>
      <w:r>
        <w:rPr>
          <w:rStyle w:val="5"/>
        </w:rPr>
        <w:t>第四部分 名词解释</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pPr>
      <w:r>
        <w:t>以下为常见专业名词解释目录，仅供参考，部门应根据实际情况进行解释和增减。比如可将类级功能科目和经济科目细化解释到项级。若有删减注意调整段落序号。</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rPr>
          <w:rStyle w:val="5"/>
        </w:rPr>
        <w:t>一、财政拨款收入</w:t>
      </w:r>
      <w:r>
        <w:t>：指本年度从本级财政部门取得的财政拨款，包括一般公共预算财政拨款和政府性基金预算财政拨款。</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rPr>
          <w:rStyle w:val="5"/>
        </w:rPr>
        <w:t>二、事业收入</w:t>
      </w:r>
      <w:r>
        <w:t>：指事业单位开展专业业务活动及其辅助活动取得的现金流入；事业单位收到的财政专户实际核拨的教育收费等资金在此反映。</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rPr>
          <w:rStyle w:val="5"/>
        </w:rPr>
        <w:t>三、经营收入</w:t>
      </w:r>
      <w:r>
        <w:t>：指事业单位在专业业务活动及其辅助活动之外开展非独立核算经营活动取得的现金流入。</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rPr>
          <w:rStyle w:val="5"/>
        </w:rPr>
        <w:t>四、其他收入</w:t>
      </w:r>
      <w: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rPr>
          <w:rStyle w:val="5"/>
        </w:rPr>
        <w:t>五、年初结转和结余</w:t>
      </w:r>
      <w:r>
        <w:t>：指单位上年结转本年使用的基本支出结转、项目支出结转和结余、经营结余。</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rPr>
          <w:rStyle w:val="5"/>
        </w:rPr>
        <w:t>六、结余分配</w:t>
      </w:r>
      <w:r>
        <w:t>：指单位按照国家有关规定，缴纳所得税、提取专用基金、转入事业基金等当年结余的分配情况。</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rPr>
          <w:rStyle w:val="5"/>
        </w:rPr>
        <w:t>七、年末结转和结余</w:t>
      </w:r>
      <w:r>
        <w:t>：指单位结转下年的基本支出结转、项目支出结转和结余、经营结余。</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rPr>
          <w:rStyle w:val="5"/>
        </w:rPr>
        <w:t>八、基本支出</w:t>
      </w:r>
      <w: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rPr>
          <w:rStyle w:val="5"/>
        </w:rPr>
        <w:t>九、项目支出</w:t>
      </w:r>
      <w:r>
        <w:t>：指在基本支出之外为完成特定行政任务和事业发展目标所发生的支出。</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rPr>
          <w:rStyle w:val="5"/>
        </w:rPr>
        <w:t>十、经营支出</w:t>
      </w:r>
      <w:r>
        <w:t>：指事业单位在专业业务活动及其辅助活动之外开展非独立核算经营活动发生的支出。</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rPr>
          <w:rStyle w:val="5"/>
        </w:rPr>
        <w:t>十一、“三公”经费</w:t>
      </w:r>
      <w: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rPr>
          <w:rStyle w:val="5"/>
        </w:rPr>
        <w:t>十二、机关运行经费</w:t>
      </w:r>
      <w: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rPr>
          <w:rStyle w:val="5"/>
        </w:rPr>
        <w:t>十三、工资福利支出</w:t>
      </w:r>
      <w:r>
        <w:t>（支出经济分类科目类级）：反映单位开支的在职职工和编制外长期聘用人员的各类劳动报酬，以及为上述人员缴纳的各项社会保险费等。</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rPr>
          <w:rStyle w:val="5"/>
        </w:rPr>
        <w:t>十四、商品和服务支出（支出经济分类科目类级）</w:t>
      </w:r>
      <w:r>
        <w:t>：反映单位购买商品和服务的支出（不包括用于购置固定资产的支出、战略性和应急储备支出）。</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rPr>
          <w:rStyle w:val="5"/>
        </w:rPr>
        <w:t>十五、对个人和家庭的补助（支出经济分类科目类级）</w:t>
      </w:r>
      <w:r>
        <w:t>：反映用于对个人和家庭的补助支出。</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rPr>
          <w:rStyle w:val="5"/>
        </w:rPr>
        <w:t>十六、其他资本性支出（支出经济分类科目类级）</w:t>
      </w:r>
      <w:r>
        <w:t>：反映非各级发展与改革部门集中安排的用于购置固定资产、战略性和应急性储备、土地和无形资产，以及构建基础设施、大型修缮和财政支持企业更新改造所发生的支出。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t> </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pPr>
      <w:r>
        <w:t> </w:t>
      </w: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7F1F5"/>
    <w:multiLevelType w:val="singleLevel"/>
    <w:tmpl w:val="A217F1F5"/>
    <w:lvl w:ilvl="0" w:tentative="0">
      <w:start w:val="1"/>
      <w:numFmt w:val="decimal"/>
      <w:suff w:val="nothing"/>
      <w:lvlText w:val="（%1）"/>
      <w:lvlJc w:val="left"/>
    </w:lvl>
  </w:abstractNum>
  <w:abstractNum w:abstractNumId="1">
    <w:nsid w:val="107B8B63"/>
    <w:multiLevelType w:val="singleLevel"/>
    <w:tmpl w:val="107B8B6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4"/>
  </w:compat>
  <w:docVars>
    <w:docVar w:name="commondata" w:val="eyJoZGlkIjoiMWIwYTQ5OTlmNzg2NzNiY2NiYzJiODQzMWVkZjRkMGEifQ=="/>
  </w:docVars>
  <w:rsids>
    <w:rsidRoot w:val="00087A38"/>
    <w:rsid w:val="00087A38"/>
    <w:rsid w:val="00321544"/>
    <w:rsid w:val="00A30404"/>
    <w:rsid w:val="00E977EE"/>
    <w:rsid w:val="10110A96"/>
    <w:rsid w:val="10871F52"/>
    <w:rsid w:val="140E41B9"/>
    <w:rsid w:val="165027E8"/>
    <w:rsid w:val="20814D17"/>
    <w:rsid w:val="2ADF6078"/>
    <w:rsid w:val="34316ACF"/>
    <w:rsid w:val="370C1519"/>
    <w:rsid w:val="44105F21"/>
    <w:rsid w:val="46923A07"/>
    <w:rsid w:val="4C931149"/>
    <w:rsid w:val="6C100675"/>
    <w:rsid w:val="6EDE72A0"/>
    <w:rsid w:val="7A205F34"/>
    <w:rsid w:val="7CB1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p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5288</Words>
  <Characters>5820</Characters>
  <Lines>58</Lines>
  <Paragraphs>16</Paragraphs>
  <TotalTime>20</TotalTime>
  <ScaleCrop>false</ScaleCrop>
  <LinksUpToDate>false</LinksUpToDate>
  <CharactersWithSpaces>5869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2022-08-19T09:40:00Z</dcterms:created>
  <dc:creator>Administrator</dc:creator>
  <cp:lastModifiedBy>扎瓦多尼</cp:lastModifiedBy>
  <dcterms:modified xsi:type="dcterms:W3CDTF">2022-08-24T01:45:44Z</dcterms:modified>
  <dc:title>2021年公开模板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482F593956534379831D0B8A967A5B1C</vt:lpwstr>
  </property>
</Properties>
</file>