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大标宋简体" w:eastAsia="方正大标宋简体"/>
          <w:color w:val="FF3300"/>
          <w:spacing w:val="-40"/>
          <w:w w:val="48"/>
          <w:sz w:val="100"/>
          <w:szCs w:val="100"/>
        </w:rPr>
      </w:pPr>
    </w:p>
    <w:p>
      <w:pPr>
        <w:ind w:left="0" w:leftChars="0" w:firstLine="0" w:firstLineChars="0"/>
        <w:jc w:val="distribute"/>
        <w:rPr>
          <w:rFonts w:hint="eastAsia" w:ascii="方正大标宋简体" w:eastAsia="方正大标宋简体"/>
          <w:b/>
          <w:bCs/>
          <w:color w:val="FF3300"/>
          <w:spacing w:val="-40"/>
          <w:w w:val="48"/>
          <w:sz w:val="100"/>
          <w:szCs w:val="100"/>
          <w:lang w:eastAsia="zh-CN"/>
        </w:rPr>
      </w:pPr>
      <w:r>
        <w:rPr>
          <w:rFonts w:hint="eastAsia" w:ascii="方正大标宋简体" w:eastAsia="方正大标宋简体"/>
          <w:b/>
          <w:bCs/>
          <w:color w:val="FF3300"/>
          <w:spacing w:val="-40"/>
          <w:w w:val="48"/>
          <w:sz w:val="100"/>
          <w:szCs w:val="100"/>
        </w:rPr>
        <w:t>甘肃省白龙江林业职工宣教中心</w:t>
      </w:r>
      <w:r>
        <w:rPr>
          <w:rFonts w:hint="eastAsia" w:ascii="方正大标宋简体" w:eastAsia="方正大标宋简体"/>
          <w:b/>
          <w:bCs/>
          <w:color w:val="FF3300"/>
          <w:spacing w:val="-40"/>
          <w:w w:val="48"/>
          <w:sz w:val="100"/>
          <w:szCs w:val="100"/>
          <w:lang w:eastAsia="zh-CN"/>
        </w:rPr>
        <w:t>文件</w:t>
      </w:r>
    </w:p>
    <w:p>
      <w:pPr>
        <w:rPr>
          <w:rFonts w:hint="eastAsia" w:ascii="方正大标宋简体" w:eastAsia="方正大标宋简体"/>
          <w:color w:val="FF3300"/>
          <w:spacing w:val="-40"/>
          <w:w w:val="8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楷体_GB2312" w:hAnsi="楷体_GB2312" w:eastAsia="仿宋_GB2312"/>
          <w:color w:val="auto"/>
          <w:szCs w:val="32"/>
          <w:lang w:eastAsia="zh-CN"/>
        </w:rPr>
      </w:pPr>
      <w:r>
        <w:rPr>
          <w:rFonts w:hint="eastAsia" w:eastAsia="仿宋_GB2312"/>
          <w:color w:val="auto"/>
          <w:szCs w:val="32"/>
          <w:lang w:val="en-US" w:eastAsia="zh-CN"/>
        </w:rPr>
        <w:t xml:space="preserve">                           白林宣教函</w:t>
      </w:r>
      <w:r>
        <w:rPr>
          <w:rFonts w:hint="eastAsia" w:eastAsia="仿宋_GB2312"/>
          <w:color w:val="auto"/>
          <w:szCs w:val="32"/>
        </w:rPr>
        <w:t>字</w:t>
      </w:r>
      <w:r>
        <w:rPr>
          <w:rFonts w:hint="eastAsia" w:ascii="仿宋_GB2312" w:eastAsia="仿宋_GB2312"/>
          <w:color w:val="auto"/>
          <w:szCs w:val="32"/>
        </w:rPr>
        <w:t>〔</w:t>
      </w:r>
      <w:r>
        <w:rPr>
          <w:rFonts w:ascii="仿宋_GB2312" w:eastAsia="仿宋_GB2312"/>
          <w:color w:val="auto"/>
          <w:szCs w:val="32"/>
        </w:rPr>
        <w:t>20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Cs w:val="32"/>
        </w:rPr>
        <w:t>〕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Cs w:val="32"/>
        </w:rPr>
        <w:t>号</w:t>
      </w:r>
      <w:r>
        <w:rPr>
          <w:rFonts w:hint="eastAsia" w:eastAsia="仿宋_GB2312"/>
          <w:color w:val="FF0000"/>
          <w:szCs w:val="32"/>
        </w:rPr>
        <w:t>　</w:t>
      </w:r>
      <w:r>
        <w:rPr>
          <w:rFonts w:hint="eastAsia" w:eastAsia="仿宋_GB2312"/>
          <w:color w:val="auto"/>
          <w:szCs w:val="32"/>
        </w:rPr>
        <w:t>　</w:t>
      </w:r>
      <w:r>
        <w:rPr>
          <w:rFonts w:hint="eastAsia" w:eastAsia="仿宋_GB2312"/>
          <w:color w:val="auto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Cs w:val="32"/>
        </w:rPr>
        <w:t>　　　　　</w:t>
      </w:r>
    </w:p>
    <w:p>
      <w:pPr>
        <w:rPr>
          <w:rFonts w:ascii="方正大标宋简体" w:eastAsia="方正大标宋简体"/>
          <w:color w:val="FF3300"/>
          <w:spacing w:val="-40"/>
          <w:w w:val="80"/>
          <w:szCs w:val="21"/>
        </w:rPr>
      </w:pPr>
      <w:r>
        <w:rPr>
          <w:rFonts w:hint="eastAsia" w:ascii="方正大标宋简体" w:eastAsia="方正大标宋简体"/>
          <w:color w:val="FF3300"/>
          <w:spacing w:val="-4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55245</wp:posOffset>
                </wp:positionV>
                <wp:extent cx="5576570" cy="3810"/>
                <wp:effectExtent l="0" t="0" r="0" b="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6570" cy="381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7pt;margin-top:4.35pt;height:0.3pt;width:439.1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xy5w1gAA&#10;AAcBAAAPAAAAAAAAAAEAIAAAACIAAABkcnMvZG93bnJldi54bWxQSwECFAAUAAAACACHTuJAOH1Z&#10;eOcBAACkAwAADgAAAAAAAAABACAAAAAlAQAAZHJzL2Uyb0RvYy54bWxQSwUGAAAAAAYABgBZAQAA&#10;fgUAAAAA&#10;">
                <v:fill on="f" focussize="0,0"/>
                <v:stroke weight="1.75pt" color="#FF33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eastAsia="仿宋_GB2312"/>
          <w:color w:val="auto"/>
        </w:rPr>
        <w:t xml:space="preserve"> </w:t>
      </w:r>
    </w:p>
    <w:p>
      <w:pPr>
        <w:pStyle w:val="2"/>
        <w:spacing w:before="0" w:beforeAutospacing="0" w:line="600" w:lineRule="exact"/>
        <w:jc w:val="center"/>
        <w:rPr>
          <w:rFonts w:hint="eastAsia" w:ascii="方正小标宋简体" w:eastAsia="方正小标宋简体" w:cs="方正小标宋简体"/>
          <w:b w:val="0"/>
          <w:bCs/>
          <w:i w:val="0"/>
          <w:caps w:val="0"/>
          <w:smallCaps w:val="0"/>
          <w:color w:val="000000"/>
          <w:spacing w:val="-20"/>
          <w:w w:val="9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 w:val="0"/>
          <w:bCs/>
          <w:i w:val="0"/>
          <w:caps w:val="0"/>
          <w:smallCaps w:val="0"/>
          <w:color w:val="000000"/>
          <w:spacing w:val="-20"/>
          <w:w w:val="90"/>
          <w:sz w:val="44"/>
          <w:szCs w:val="44"/>
          <w:lang w:eastAsia="zh-CN"/>
        </w:rPr>
        <w:t>甘肃省白龙江林业职工宣教中心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2021年度省级预算执行情况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自评报告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白龙江林业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保护中心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规财处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根据《白龙江林业保护中心关于开展2021年度省级预算执行情况绩效自评工作的通知》（白林规函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〔2022〕6号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）要求，现将我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2021年度预算执行情况绩效自评情况报告如下：</w:t>
      </w:r>
    </w:p>
    <w:p>
      <w:pPr>
        <w:spacing w:line="560" w:lineRule="exact"/>
        <w:ind w:left="1894" w:leftChars="292" w:hanging="960" w:hangingChars="3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一、基本情况</w:t>
      </w:r>
    </w:p>
    <w:p>
      <w:pPr>
        <w:pStyle w:val="7"/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（一）部门主要职能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承担白龙江林区林业管理的宣传、理论研究工作；负责白龙江林区党员干部职工的思想政治教育工作；协助主管部门做好白龙江林区突发事件舆情应对工作；负责白龙江林区有关数据的统计与分析。</w:t>
      </w:r>
    </w:p>
    <w:p>
      <w:pPr>
        <w:pStyle w:val="7"/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（二）内设机构及所属单位概况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我单位为县级单位，隶属于白龙江林业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保护中心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。本单为内设机构有办公室、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财务科、总务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科。</w:t>
      </w:r>
    </w:p>
    <w:p>
      <w:pPr>
        <w:spacing w:line="560" w:lineRule="exact"/>
        <w:ind w:left="1894" w:leftChars="292" w:hanging="960" w:hanging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二、绩效自评工作组织开展情况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我单位根据管理局规财处的要求，成立了绩效考评小组。严格执行国家、省、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保护中心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有关政策，按照资金使用办法，认真收集，整理了资金来源和使用情况等资料后，完成自评工作。</w:t>
      </w:r>
    </w:p>
    <w:p>
      <w:pPr>
        <w:spacing w:line="560" w:lineRule="exact"/>
        <w:ind w:left="1894" w:leftChars="292" w:hanging="960" w:hanging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三、部门整体支出绩效自评情况分析</w:t>
      </w:r>
    </w:p>
    <w:p>
      <w:pPr>
        <w:pStyle w:val="7"/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（一）部门决算情况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本年度年初结转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197528.45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元，财政拨款收入为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2580583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元，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（银行利息）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4230.12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元，基本支出总数共计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2782341.57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元，年末结转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pStyle w:val="7"/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（二）各项指标完成情况</w:t>
      </w:r>
    </w:p>
    <w:p>
      <w:pPr>
        <w:pStyle w:val="2"/>
        <w:spacing w:before="0" w:beforeAutospacing="0" w:line="56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我单位总体目标完成良好，基本支出预算执行率为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_GB2312" w:cs="仿宋_GB2312"/>
          <w:color w:val="auto"/>
          <w:szCs w:val="32"/>
        </w:rPr>
        <w:t>%，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无</w:t>
      </w:r>
      <w:r>
        <w:rPr>
          <w:rFonts w:hint="eastAsia" w:ascii="仿宋_GB2312" w:hAnsi="仿宋_GB2312" w:cs="仿宋_GB2312"/>
          <w:color w:val="auto"/>
          <w:szCs w:val="32"/>
        </w:rPr>
        <w:t>项目支出、三公经费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控制</w:t>
      </w:r>
      <w:r>
        <w:rPr>
          <w:rFonts w:hint="eastAsia" w:ascii="仿宋_GB2312" w:hAnsi="仿宋_GB2312" w:cs="仿宋_GB2312"/>
          <w:color w:val="auto"/>
          <w:szCs w:val="32"/>
        </w:rPr>
        <w:t>率及结转结余变动率实际完成值均符合年度指标值范围；财务管理制度健全，完成率100%，资金能够正确规范的使用；政府采购和资产管理严格规范；人员方面，年初在职人员为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17</w:t>
      </w:r>
      <w:r>
        <w:rPr>
          <w:rFonts w:hint="eastAsia" w:ascii="仿宋_GB2312" w:hAnsi="仿宋_GB2312" w:cs="仿宋_GB2312"/>
          <w:color w:val="auto"/>
          <w:szCs w:val="32"/>
        </w:rPr>
        <w:t>人，年末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15</w:t>
      </w:r>
      <w:r>
        <w:rPr>
          <w:rFonts w:hint="eastAsia" w:ascii="仿宋_GB2312" w:hAnsi="仿宋_GB2312" w:cs="仿宋_GB2312"/>
          <w:color w:val="auto"/>
          <w:szCs w:val="32"/>
        </w:rPr>
        <w:t>人，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调出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3人调入1人</w:t>
      </w:r>
      <w:r>
        <w:rPr>
          <w:rFonts w:hint="eastAsia" w:ascii="仿宋_GB2312" w:hAnsi="仿宋_GB2312" w:cs="仿宋_GB2312"/>
          <w:color w:val="auto"/>
          <w:szCs w:val="32"/>
        </w:rPr>
        <w:t>；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部门履职目标基本实现，部门效果目标中实现职工收入提高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2%以上</w:t>
      </w:r>
      <w:r>
        <w:rPr>
          <w:rFonts w:hint="eastAsia" w:ascii="仿宋_GB2312" w:hAnsi="仿宋_GB2312" w:cs="仿宋_GB2312"/>
          <w:color w:val="auto"/>
          <w:szCs w:val="32"/>
        </w:rPr>
        <w:t>；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干部职工满意度超过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90%，中长期规划建设基本完备，人员培训机制基本完备、</w:t>
      </w:r>
      <w:r>
        <w:rPr>
          <w:rFonts w:hint="eastAsia" w:ascii="仿宋_GB2312" w:hAnsi="仿宋_GB2312" w:cs="仿宋_GB2312"/>
          <w:color w:val="auto"/>
          <w:szCs w:val="32"/>
        </w:rPr>
        <w:t>档案管理基本完备。</w:t>
      </w:r>
    </w:p>
    <w:p>
      <w:pPr>
        <w:pStyle w:val="7"/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（三）偏离绩效目标的原因及下一步改进措施</w:t>
      </w:r>
    </w:p>
    <w:p>
      <w:pPr>
        <w:pStyle w:val="7"/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1.部门管理中，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人员管理在职人员控制率为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88%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未达到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分析原因为：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因工作需要调出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3人，调入1人，减少了2人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7"/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2.认真学习如何科学合理的制定绩效目标，充分发挥绩效目标工作效用。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四、部门预算项目支出绩效自评情况分析</w:t>
      </w:r>
    </w:p>
    <w:p>
      <w:pPr>
        <w:pStyle w:val="7"/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我单位无项目支出</w:t>
      </w:r>
    </w:p>
    <w:p>
      <w:pPr>
        <w:pStyle w:val="2"/>
        <w:spacing w:before="0" w:beforeAutospacing="0" w:line="480" w:lineRule="exact"/>
        <w:rPr>
          <w:rFonts w:hint="eastAsia"/>
          <w:color w:val="auto"/>
        </w:rPr>
      </w:pPr>
    </w:p>
    <w:p>
      <w:pPr>
        <w:pStyle w:val="2"/>
        <w:spacing w:before="0" w:beforeAutospacing="0" w:line="480" w:lineRule="exact"/>
        <w:rPr>
          <w:rFonts w:hint="eastAsia"/>
          <w:color w:val="auto"/>
        </w:rPr>
      </w:pPr>
    </w:p>
    <w:p>
      <w:pPr>
        <w:pStyle w:val="2"/>
        <w:spacing w:before="0" w:beforeAutospacing="0" w:line="480" w:lineRule="exact"/>
        <w:rPr>
          <w:rFonts w:hint="eastAsia"/>
          <w:color w:val="auto"/>
        </w:rPr>
      </w:pPr>
    </w:p>
    <w:p>
      <w:pPr>
        <w:pStyle w:val="2"/>
        <w:spacing w:before="0" w:beforeAutospacing="0" w:line="480" w:lineRule="exact"/>
        <w:rPr>
          <w:rFonts w:hint="eastAsia"/>
          <w:color w:val="auto"/>
        </w:rPr>
      </w:pPr>
    </w:p>
    <w:p>
      <w:pPr>
        <w:pStyle w:val="2"/>
        <w:spacing w:before="0" w:beforeAutospacing="0" w:line="480" w:lineRule="exact"/>
        <w:rPr>
          <w:rFonts w:hint="eastAsia"/>
          <w:color w:val="auto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auto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lang w:val="en-US" w:eastAsia="zh-CN"/>
        </w:rPr>
        <w:t xml:space="preserve">                      甘肃省白龙江林业职工宣教中心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Cs w:val="32"/>
          <w:lang w:val="en-US" w:eastAsia="zh-CN"/>
        </w:rPr>
        <w:t xml:space="preserve">                          　 2022年1月20日</w:t>
      </w:r>
    </w:p>
    <w:sectPr>
      <w:headerReference r:id="rId3" w:type="default"/>
      <w:footerReference r:id="rId4" w:type="default"/>
      <w:pgSz w:w="11906" w:h="16838"/>
      <w:pgMar w:top="1984" w:right="1474" w:bottom="1417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琥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rPr>
        <w:rStyle w:val="6"/>
        <w:rFonts w:ascii="宋体" w:eastAsia="宋体"/>
        <w:color w:val="auto"/>
        <w:sz w:val="28"/>
        <w:szCs w:val="28"/>
      </w:rPr>
    </w:pPr>
    <w:r>
      <w:rPr>
        <w:rStyle w:val="6"/>
        <w:rFonts w:ascii="宋体" w:eastAsia="宋体"/>
        <w:color w:val="auto"/>
        <w:sz w:val="28"/>
        <w:szCs w:val="28"/>
      </w:rPr>
      <w:t>—</w:t>
    </w:r>
    <w:r>
      <w:rPr>
        <w:rStyle w:val="6"/>
        <w:rFonts w:ascii="宋体" w:eastAsia="宋体"/>
        <w:color w:val="auto"/>
        <w:sz w:val="28"/>
        <w:szCs w:val="28"/>
      </w:rPr>
      <w:fldChar w:fldCharType="begin"/>
    </w:r>
    <w:r>
      <w:rPr>
        <w:rStyle w:val="6"/>
        <w:rFonts w:ascii="宋体" w:eastAsia="宋体"/>
        <w:color w:val="auto"/>
        <w:sz w:val="28"/>
        <w:szCs w:val="28"/>
      </w:rPr>
      <w:instrText xml:space="preserve">PAGE  </w:instrText>
    </w:r>
    <w:r>
      <w:rPr>
        <w:rStyle w:val="6"/>
        <w:rFonts w:ascii="宋体" w:eastAsia="宋体"/>
        <w:color w:val="auto"/>
        <w:sz w:val="28"/>
        <w:szCs w:val="28"/>
      </w:rPr>
      <w:fldChar w:fldCharType="separate"/>
    </w:r>
    <w:r>
      <w:rPr>
        <w:rStyle w:val="6"/>
        <w:rFonts w:ascii="宋体" w:eastAsia="宋体"/>
        <w:color w:val="auto"/>
        <w:sz w:val="28"/>
        <w:szCs w:val="28"/>
      </w:rPr>
      <w:t>6</w:t>
    </w:r>
    <w:r>
      <w:rPr>
        <w:rStyle w:val="6"/>
        <w:rFonts w:ascii="宋体" w:eastAsia="宋体"/>
        <w:color w:val="auto"/>
        <w:sz w:val="28"/>
        <w:szCs w:val="28"/>
      </w:rPr>
      <w:fldChar w:fldCharType="end"/>
    </w:r>
    <w:r>
      <w:rPr>
        <w:rStyle w:val="6"/>
        <w:rFonts w:ascii="宋体" w:eastAsia="宋体"/>
        <w:color w:val="auto"/>
        <w:sz w:val="28"/>
        <w:szCs w:val="28"/>
      </w:rPr>
      <w:t>—</w:t>
    </w:r>
  </w:p>
  <w:p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962EE"/>
    <w:rsid w:val="063D5B91"/>
    <w:rsid w:val="077525F6"/>
    <w:rsid w:val="12F21B2C"/>
    <w:rsid w:val="173901F4"/>
    <w:rsid w:val="25C76512"/>
    <w:rsid w:val="278F50C1"/>
    <w:rsid w:val="2A4E735E"/>
    <w:rsid w:val="30495ABF"/>
    <w:rsid w:val="365547F3"/>
    <w:rsid w:val="38151DD8"/>
    <w:rsid w:val="398320F7"/>
    <w:rsid w:val="45373841"/>
    <w:rsid w:val="45A00328"/>
    <w:rsid w:val="4CAE383E"/>
    <w:rsid w:val="4EE4297F"/>
    <w:rsid w:val="51C97E6F"/>
    <w:rsid w:val="52DB6400"/>
    <w:rsid w:val="5AB11B0B"/>
    <w:rsid w:val="603D0A75"/>
    <w:rsid w:val="62131D73"/>
    <w:rsid w:val="6541452B"/>
    <w:rsid w:val="67E42535"/>
    <w:rsid w:val="6F766362"/>
    <w:rsid w:val="77D962EE"/>
    <w:rsid w:val="7E4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琥珀简体" w:cs="Times New Roman"/>
      <w:color w:val="FF660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before="100" w:beforeAutospacing="1"/>
      <w:jc w:val="left"/>
    </w:pPr>
    <w:rPr>
      <w:rFonts w:ascii="Arial" w:hAnsi="Arial" w:eastAsia="仿宋_GB2312" w:cs="Verdana"/>
      <w:bCs/>
      <w:kern w:val="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\&#23459;&#25945;&#20013;&#24515;\&#25253;&#36865;2021&#24180;&#24230;&#22269;&#26377;&#34892;&#25919;&#20107;&#19994;&#24615;&#22269;&#26377;&#36164;&#20135;&#25253;&#34920;&#30340;&#209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报送2021年度国有行政事业性国有资产报表的函.docx</Template>
  <Pages>1</Pages>
  <Words>217</Words>
  <Characters>236</Characters>
  <Lines>0</Lines>
  <Paragraphs>0</Paragraphs>
  <TotalTime>4</TotalTime>
  <ScaleCrop>false</ScaleCrop>
  <LinksUpToDate>false</LinksUpToDate>
  <CharactersWithSpaces>323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2022-01-20T09:46:00Z</dcterms:created>
  <dc:creator>Administrator</dc:creator>
  <cp:lastModifiedBy>Administrator</cp:lastModifiedBy>
  <dcterms:modified xsi:type="dcterms:W3CDTF">2022-01-21T01:12:42Z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