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70" w:type="dxa"/>
        <w:jc w:val="center"/>
        <w:tblInd w:w="208" w:type="dxa"/>
        <w:shd w:val="clear"/>
        <w:tblLayout w:type="fixed"/>
        <w:tblCellMar>
          <w:top w:w="0" w:type="dxa"/>
          <w:left w:w="0" w:type="dxa"/>
          <w:bottom w:w="0" w:type="dxa"/>
          <w:right w:w="0" w:type="dxa"/>
        </w:tblCellMar>
      </w:tblPr>
      <w:tblGrid>
        <w:gridCol w:w="8370"/>
      </w:tblGrid>
      <w:tr>
        <w:tblPrEx>
          <w:tblLayout w:type="fixed"/>
          <w:tblCellMar>
            <w:top w:w="0" w:type="dxa"/>
            <w:left w:w="0" w:type="dxa"/>
            <w:bottom w:w="0" w:type="dxa"/>
            <w:right w:w="0" w:type="dxa"/>
          </w:tblCellMar>
        </w:tblPrEx>
        <w:trPr>
          <w:jc w:val="center"/>
        </w:trPr>
        <w:tc>
          <w:tcPr>
            <w:tcW w:w="8370" w:type="dxa"/>
            <w:shd w:val="clear"/>
            <w:tcMar>
              <w:top w:w="120" w:type="dxa"/>
              <w:bottom w:w="225" w:type="dxa"/>
            </w:tcMar>
            <w:vAlign w:val="center"/>
          </w:tcPr>
          <w:p>
            <w:pPr>
              <w:keepNext w:val="0"/>
              <w:keepLines w:val="0"/>
              <w:widowControl/>
              <w:suppressLineNumbers w:val="0"/>
              <w:spacing w:before="0" w:beforeAutospacing="0" w:after="0" w:afterAutospacing="0" w:line="525" w:lineRule="atLeast"/>
              <w:ind w:left="0" w:right="0"/>
              <w:jc w:val="center"/>
              <w:rPr>
                <w:rFonts w:ascii="微软雅黑" w:hAnsi="微软雅黑" w:eastAsia="微软雅黑" w:cs="微软雅黑"/>
                <w:b/>
                <w:i w:val="0"/>
                <w:caps w:val="0"/>
                <w:color w:val="006EAB"/>
                <w:spacing w:val="0"/>
                <w:sz w:val="45"/>
                <w:szCs w:val="45"/>
              </w:rPr>
            </w:pPr>
            <w:r>
              <w:rPr>
                <w:rFonts w:hint="eastAsia" w:ascii="微软雅黑" w:hAnsi="微软雅黑" w:eastAsia="微软雅黑" w:cs="微软雅黑"/>
                <w:b/>
                <w:i w:val="0"/>
                <w:caps w:val="0"/>
                <w:color w:val="006EAB"/>
                <w:spacing w:val="0"/>
                <w:kern w:val="0"/>
                <w:sz w:val="32"/>
                <w:szCs w:val="32"/>
                <w:bdr w:val="none" w:color="auto" w:sz="0" w:space="0"/>
                <w:lang w:val="en-US" w:eastAsia="zh-CN" w:bidi="ar"/>
              </w:rPr>
              <w:t>《甘肃省省级财政专项资金管理办法》政策解读</w:t>
            </w:r>
          </w:p>
        </w:tc>
      </w:tr>
      <w:tr>
        <w:tblPrEx>
          <w:tblLayout w:type="fixed"/>
          <w:tblCellMar>
            <w:top w:w="0" w:type="dxa"/>
            <w:left w:w="0" w:type="dxa"/>
            <w:bottom w:w="0" w:type="dxa"/>
            <w:right w:w="0" w:type="dxa"/>
          </w:tblCellMar>
        </w:tblPrEx>
        <w:trPr>
          <w:trHeight w:val="106" w:hRule="atLeast"/>
          <w:jc w:val="center"/>
        </w:trPr>
        <w:tc>
          <w:tcPr>
            <w:tcW w:w="8370" w:type="dxa"/>
            <w:shd w:val="clear"/>
            <w:vAlign w:val="center"/>
          </w:tcPr>
          <w:p>
            <w:pPr>
              <w:rPr>
                <w:rFonts w:hint="eastAsia" w:ascii="Helvetica" w:hAnsi="Helvetica" w:eastAsia="Helvetica" w:cs="Helvetica"/>
                <w:i w:val="0"/>
                <w:caps w:val="0"/>
                <w:color w:val="333333"/>
                <w:spacing w:val="0"/>
                <w:sz w:val="21"/>
                <w:szCs w:val="21"/>
              </w:rPr>
            </w:pPr>
          </w:p>
        </w:tc>
      </w:tr>
      <w:tr>
        <w:tblPrEx>
          <w:shd w:val="clear"/>
          <w:tblLayout w:type="fixed"/>
          <w:tblCellMar>
            <w:top w:w="0" w:type="dxa"/>
            <w:left w:w="0" w:type="dxa"/>
            <w:bottom w:w="0" w:type="dxa"/>
            <w:right w:w="0" w:type="dxa"/>
          </w:tblCellMar>
        </w:tblPrEx>
        <w:trPr>
          <w:jc w:val="center"/>
        </w:trPr>
        <w:tc>
          <w:tcPr>
            <w:tcW w:w="8370" w:type="dxa"/>
            <w:shd w:val="clear"/>
            <w:vAlign w:val="center"/>
          </w:tcPr>
          <w:tbl>
            <w:tblPr>
              <w:tblW w:w="8370" w:type="dxa"/>
              <w:jc w:val="center"/>
              <w:tblInd w:w="0" w:type="dxa"/>
              <w:shd w:val="clear"/>
              <w:tblLayout w:type="fixed"/>
              <w:tblCellMar>
                <w:top w:w="0" w:type="dxa"/>
                <w:left w:w="0" w:type="dxa"/>
                <w:bottom w:w="0" w:type="dxa"/>
                <w:right w:w="0" w:type="dxa"/>
              </w:tblCellMar>
            </w:tblPr>
            <w:tblGrid>
              <w:gridCol w:w="8370"/>
            </w:tblGrid>
            <w:tr>
              <w:tblPrEx>
                <w:shd w:val="clear"/>
                <w:tblLayout w:type="fixed"/>
                <w:tblCellMar>
                  <w:top w:w="0" w:type="dxa"/>
                  <w:left w:w="0" w:type="dxa"/>
                  <w:bottom w:w="0" w:type="dxa"/>
                  <w:right w:w="0" w:type="dxa"/>
                </w:tblCellMar>
              </w:tblPrEx>
              <w:trPr>
                <w:jc w:val="center"/>
              </w:trPr>
              <w:tc>
                <w:tcPr>
                  <w:tcW w:w="8370" w:type="dxa"/>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日期：2023-12-28 11:04 来源：甘肃省财政厅 </w:t>
                  </w:r>
                </w:p>
              </w:tc>
            </w:tr>
          </w:tbl>
          <w:p>
            <w:pPr>
              <w:keepNext w:val="0"/>
              <w:keepLines w:val="0"/>
              <w:widowControl/>
              <w:suppressLineNumbers w:val="0"/>
              <w:spacing w:before="0" w:beforeAutospacing="0" w:after="0" w:afterAutospacing="0"/>
              <w:ind w:left="0" w:right="0"/>
              <w:jc w:val="left"/>
              <w:rPr>
                <w:rFonts w:hint="default" w:ascii="Helvetica" w:hAnsi="Helvetica" w:eastAsia="Helvetica" w:cs="Helvetica"/>
                <w:i w:val="0"/>
                <w:caps w:val="0"/>
                <w:color w:val="333333"/>
                <w:spacing w:val="0"/>
                <w:sz w:val="21"/>
                <w:szCs w:val="21"/>
              </w:rPr>
            </w:pPr>
          </w:p>
        </w:tc>
      </w:tr>
      <w:tr>
        <w:tblPrEx>
          <w:shd w:val="clear"/>
          <w:tblLayout w:type="fixed"/>
          <w:tblCellMar>
            <w:top w:w="0" w:type="dxa"/>
            <w:left w:w="0" w:type="dxa"/>
            <w:bottom w:w="0" w:type="dxa"/>
            <w:right w:w="0" w:type="dxa"/>
          </w:tblCellMar>
        </w:tblPrEx>
        <w:trPr>
          <w:jc w:val="center"/>
        </w:trPr>
        <w:tc>
          <w:tcPr>
            <w:tcW w:w="8370"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sz w:val="21"/>
                <w:szCs w:val="21"/>
              </w:rPr>
            </w:pPr>
            <w:r>
              <w:rPr>
                <w:rFonts w:hint="default" w:ascii="Helvetica" w:hAnsi="Helvetica" w:eastAsia="Helvetica" w:cs="Helvetica"/>
                <w:i w:val="0"/>
                <w:caps w:val="0"/>
                <w:color w:val="333333"/>
                <w:spacing w:val="0"/>
                <w:sz w:val="32"/>
                <w:szCs w:val="32"/>
                <w:bdr w:val="none" w:color="auto" w:sz="0" w:space="0"/>
              </w:rPr>
              <w:t>为进一步规范省级财政专项资金管理，优化资源配置，提高财政资金使用效益，促进全省经济高质量发展，甘肃省人民政府办公厅印发《甘肃省省级财政专项资金管理办法》（以下简称《办法》），现</w:t>
            </w:r>
            <w:bookmarkStart w:id="0" w:name="_GoBack"/>
            <w:bookmarkEnd w:id="0"/>
            <w:r>
              <w:rPr>
                <w:rFonts w:hint="default" w:ascii="Helvetica" w:hAnsi="Helvetica" w:eastAsia="Helvetica" w:cs="Helvetica"/>
                <w:i w:val="0"/>
                <w:caps w:val="0"/>
                <w:color w:val="333333"/>
                <w:spacing w:val="0"/>
                <w:sz w:val="32"/>
                <w:szCs w:val="32"/>
                <w:bdr w:val="none" w:color="auto" w:sz="0" w:space="0"/>
              </w:rPr>
              <w:t>就相关情况说明如下：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sz w:val="21"/>
                <w:szCs w:val="21"/>
              </w:rPr>
            </w:pPr>
            <w:r>
              <w:rPr>
                <w:rFonts w:ascii="黑体" w:hAnsi="宋体" w:eastAsia="黑体" w:cs="黑体"/>
                <w:i w:val="0"/>
                <w:caps w:val="0"/>
                <w:color w:val="333333"/>
                <w:spacing w:val="0"/>
                <w:sz w:val="32"/>
                <w:szCs w:val="32"/>
                <w:bdr w:val="none" w:color="auto" w:sz="0" w:space="0"/>
              </w:rPr>
              <w:t>一、出台背景和过程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sz w:val="21"/>
                <w:szCs w:val="21"/>
              </w:rPr>
            </w:pPr>
            <w:r>
              <w:rPr>
                <w:rFonts w:hint="default" w:ascii="Helvetica" w:hAnsi="Helvetica" w:eastAsia="Helvetica" w:cs="Helvetica"/>
                <w:i w:val="0"/>
                <w:caps w:val="0"/>
                <w:color w:val="333333"/>
                <w:spacing w:val="0"/>
                <w:sz w:val="32"/>
                <w:szCs w:val="32"/>
                <w:bdr w:val="none" w:color="auto" w:sz="0" w:space="0"/>
              </w:rPr>
              <w:t>管好用好财政专项资金，对于进一步保障省委省政府重点工作落实，更好发挥财政政策效能，推动经济社会高质量发展具有十分重要的现实意义。省委十四届二次全会确定的改革实施规划，将修订省级财政专项资金管理办法作为今年的一项重要改革任务。今年初，省人大财经委在审查2023年全省及省级财政预算草案时提出：“要健全完善财政职能，依法加强财政监管，提高财政资金使用绩效”。与此同时，中央对政府过紧日子、加强财政资金统筹和管理等也提出了明确要求。为落实好改革任务和要求，省财政厅专门组织调研组，选取部分省直部门进行了实地调研，学习了其他省份的先进经验。在此基础上，又采取问卷调查的方式，向市县党政机关单位和社会各方广泛调研,征询了对省级现行财政专项资金管理方式的意见建议，共收到有效样本1800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sz w:val="21"/>
                <w:szCs w:val="21"/>
              </w:rPr>
            </w:pPr>
            <w:r>
              <w:rPr>
                <w:rFonts w:hint="default" w:ascii="Helvetica" w:hAnsi="Helvetica" w:eastAsia="Helvetica" w:cs="Helvetica"/>
                <w:i w:val="0"/>
                <w:caps w:val="0"/>
                <w:color w:val="333333"/>
                <w:spacing w:val="0"/>
                <w:sz w:val="32"/>
                <w:szCs w:val="32"/>
                <w:bdr w:val="none" w:color="auto" w:sz="0" w:space="0"/>
              </w:rPr>
              <w:t>从《办法》实施以来的调研评估情况看，2014年制定印发的《办法》，在靠实部门主体责任，提升财政支出均衡性和时效性，提高财政资金使用效益方面发挥了积极作用，但随着财政经济形势变化，以及预算管理、绩效管理等改革不断深入，亟需修订完善。结合当前形势和要求，借鉴其他省份经验做法，在充分征求了省直部门意见建议的基础上，研究制定了《甘肃省省级财政专项资金管理办法》，经省政府常务会议审议通过后，由省政府办公厅于2023年11月23日正式印发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sz w:val="21"/>
                <w:szCs w:val="21"/>
              </w:rPr>
            </w:pPr>
            <w:r>
              <w:rPr>
                <w:rFonts w:hint="eastAsia" w:ascii="黑体" w:hAnsi="宋体" w:eastAsia="黑体" w:cs="黑体"/>
                <w:i w:val="0"/>
                <w:caps w:val="0"/>
                <w:color w:val="333333"/>
                <w:spacing w:val="0"/>
                <w:sz w:val="32"/>
                <w:szCs w:val="32"/>
                <w:bdr w:val="none" w:color="auto" w:sz="0" w:space="0"/>
              </w:rPr>
              <w:t>二、主要内容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sz w:val="21"/>
                <w:szCs w:val="21"/>
              </w:rPr>
            </w:pPr>
            <w:r>
              <w:rPr>
                <w:rFonts w:hint="default" w:ascii="Helvetica" w:hAnsi="Helvetica" w:eastAsia="Helvetica" w:cs="Helvetica"/>
                <w:i w:val="0"/>
                <w:caps w:val="0"/>
                <w:color w:val="333333"/>
                <w:spacing w:val="0"/>
                <w:sz w:val="32"/>
                <w:szCs w:val="32"/>
                <w:bdr w:val="none" w:color="auto" w:sz="0" w:space="0"/>
              </w:rPr>
              <w:t>《办法》共六章34条，结合预算管理、绩效管理改革要求，在专项新增设立、项目储备、资金分配、管理机制、绩效监督、调整退出等方面作了规定,要求充分运用零基预算方式，打破“基数+增长”的管理理念，深入推进预算和绩效管理一体化，增强预算安排的科学性和财政运行可持续性，更加强调绩效在专项资金管理中的“指挥棒”作用，为我省专项资金的健康运行提供了有力的制度支撑。重点内容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sz w:val="21"/>
                <w:szCs w:val="21"/>
              </w:rPr>
            </w:pPr>
            <w:r>
              <w:rPr>
                <w:rFonts w:hint="default" w:ascii="Helvetica" w:hAnsi="Helvetica" w:eastAsia="Helvetica" w:cs="Helvetica"/>
                <w:b/>
                <w:i w:val="0"/>
                <w:caps w:val="0"/>
                <w:color w:val="333333"/>
                <w:spacing w:val="0"/>
                <w:sz w:val="32"/>
                <w:szCs w:val="32"/>
                <w:bdr w:val="none" w:color="auto" w:sz="0" w:space="0"/>
              </w:rPr>
              <w:t>（一）在专项新增设立上。</w:t>
            </w:r>
            <w:r>
              <w:rPr>
                <w:rFonts w:hint="default" w:ascii="Helvetica" w:hAnsi="Helvetica" w:eastAsia="Helvetica" w:cs="Helvetica"/>
                <w:i w:val="0"/>
                <w:caps w:val="0"/>
                <w:color w:val="333333"/>
                <w:spacing w:val="0"/>
                <w:sz w:val="32"/>
                <w:szCs w:val="32"/>
                <w:bdr w:val="none" w:color="auto" w:sz="0" w:space="0"/>
              </w:rPr>
              <w:t>坚持“项目跟着政策走”，坚决落实过紧日子要求，坚持厉行节约办一切事业，</w:t>
            </w:r>
            <w:r>
              <w:rPr>
                <w:rFonts w:hint="default" w:ascii="Helvetica" w:hAnsi="Helvetica" w:eastAsia="Helvetica" w:cs="Helvetica"/>
                <w:b/>
                <w:i w:val="0"/>
                <w:caps w:val="0"/>
                <w:color w:val="333333"/>
                <w:spacing w:val="0"/>
                <w:sz w:val="32"/>
                <w:szCs w:val="32"/>
                <w:bdr w:val="none" w:color="auto" w:sz="0" w:space="0"/>
              </w:rPr>
              <w:t>继续明确：</w:t>
            </w:r>
            <w:r>
              <w:rPr>
                <w:rFonts w:hint="default" w:ascii="Helvetica" w:hAnsi="Helvetica" w:eastAsia="Helvetica" w:cs="Helvetica"/>
                <w:i w:val="0"/>
                <w:caps w:val="0"/>
                <w:color w:val="333333"/>
                <w:spacing w:val="0"/>
                <w:sz w:val="32"/>
                <w:szCs w:val="32"/>
                <w:bdr w:val="none" w:color="auto" w:sz="0" w:space="0"/>
              </w:rPr>
              <w:t>严格专项资金新增设立条件，新增专项要具备明确的政策依据、设立期限、绩效评估、资金需求、资金来源、资金用途等；不得重复申报设立政策目标接近或资金支出方向类同的专项资金。</w:t>
            </w:r>
            <w:r>
              <w:rPr>
                <w:rFonts w:hint="default" w:ascii="Helvetica" w:hAnsi="Helvetica" w:eastAsia="Helvetica" w:cs="Helvetica"/>
                <w:b/>
                <w:i w:val="0"/>
                <w:caps w:val="0"/>
                <w:color w:val="333333"/>
                <w:spacing w:val="0"/>
                <w:sz w:val="32"/>
                <w:szCs w:val="32"/>
                <w:bdr w:val="none" w:color="auto" w:sz="0" w:space="0"/>
              </w:rPr>
              <w:t>增加规定：</w:t>
            </w:r>
            <w:r>
              <w:rPr>
                <w:rFonts w:hint="default" w:ascii="Helvetica" w:hAnsi="Helvetica" w:eastAsia="Helvetica" w:cs="Helvetica"/>
                <w:i w:val="0"/>
                <w:caps w:val="0"/>
                <w:color w:val="333333"/>
                <w:spacing w:val="0"/>
                <w:sz w:val="32"/>
                <w:szCs w:val="32"/>
                <w:bdr w:val="none" w:color="auto" w:sz="0" w:space="0"/>
              </w:rPr>
              <w:t>省级财政部门按照相关规定和财政可承受能力对专项资金设立条件进行审核，重点事项可采取专家论证、组织或委托第三方机构开展财政预算评审等方式，评审结果作为专项设立的重要参考依据。涉及市场主体生产经营活动的，应当进行公平竞争审查。涉及重大支出事项或需省政府审定的，报省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sz w:val="21"/>
                <w:szCs w:val="21"/>
              </w:rPr>
            </w:pPr>
            <w:r>
              <w:rPr>
                <w:rFonts w:hint="default" w:ascii="Helvetica" w:hAnsi="Helvetica" w:eastAsia="Helvetica" w:cs="Helvetica"/>
                <w:b/>
                <w:i w:val="0"/>
                <w:caps w:val="0"/>
                <w:color w:val="333333"/>
                <w:spacing w:val="0"/>
                <w:sz w:val="32"/>
                <w:szCs w:val="32"/>
                <w:bdr w:val="none" w:color="auto" w:sz="0" w:space="0"/>
              </w:rPr>
              <w:t>（二）在专项项目储备上。</w:t>
            </w:r>
            <w:r>
              <w:rPr>
                <w:rFonts w:hint="default" w:ascii="Helvetica" w:hAnsi="Helvetica" w:eastAsia="Helvetica" w:cs="Helvetica"/>
                <w:i w:val="0"/>
                <w:caps w:val="0"/>
                <w:color w:val="333333"/>
                <w:spacing w:val="0"/>
                <w:sz w:val="32"/>
                <w:szCs w:val="32"/>
                <w:bdr w:val="none" w:color="auto" w:sz="0" w:space="0"/>
              </w:rPr>
              <w:t>坚持“资金跟着项目走”，着力破解“资金等项目”的问题，</w:t>
            </w:r>
            <w:r>
              <w:rPr>
                <w:rFonts w:hint="default" w:ascii="Helvetica" w:hAnsi="Helvetica" w:eastAsia="Helvetica" w:cs="Helvetica"/>
                <w:b/>
                <w:i w:val="0"/>
                <w:caps w:val="0"/>
                <w:color w:val="333333"/>
                <w:spacing w:val="0"/>
                <w:sz w:val="32"/>
                <w:szCs w:val="32"/>
                <w:bdr w:val="none" w:color="auto" w:sz="0" w:space="0"/>
              </w:rPr>
              <w:t>继续明确:</w:t>
            </w:r>
            <w:r>
              <w:rPr>
                <w:rFonts w:hint="default" w:ascii="Helvetica" w:hAnsi="Helvetica" w:eastAsia="Helvetica" w:cs="Helvetica"/>
                <w:i w:val="0"/>
                <w:caps w:val="0"/>
                <w:color w:val="333333"/>
                <w:spacing w:val="0"/>
                <w:sz w:val="32"/>
                <w:szCs w:val="32"/>
                <w:bdr w:val="none" w:color="auto" w:sz="0" w:space="0"/>
              </w:rPr>
              <w:t>经批准设立的专项资金，全部以项目形式纳入项目库。</w:t>
            </w:r>
            <w:r>
              <w:rPr>
                <w:rFonts w:hint="default" w:ascii="Helvetica" w:hAnsi="Helvetica" w:eastAsia="Helvetica" w:cs="Helvetica"/>
                <w:b/>
                <w:i w:val="0"/>
                <w:caps w:val="0"/>
                <w:color w:val="333333"/>
                <w:spacing w:val="0"/>
                <w:sz w:val="32"/>
                <w:szCs w:val="32"/>
                <w:bdr w:val="none" w:color="auto" w:sz="0" w:space="0"/>
              </w:rPr>
              <w:t>增加规定</w:t>
            </w:r>
            <w:r>
              <w:rPr>
                <w:rFonts w:hint="default" w:ascii="Helvetica" w:hAnsi="Helvetica" w:eastAsia="Helvetica" w:cs="Helvetica"/>
                <w:i w:val="0"/>
                <w:caps w:val="0"/>
                <w:color w:val="333333"/>
                <w:spacing w:val="0"/>
                <w:sz w:val="32"/>
                <w:szCs w:val="32"/>
                <w:bdr w:val="none" w:color="auto" w:sz="0" w:space="0"/>
              </w:rPr>
              <w:t>：各主管部门与财政密切配合，将符合专项支持方向、前期准备充分的项目，依次纳入部门项目库和预算项目库。在编制年度预算时，主管部门根据绩效情况和年度工作任务，从项目库中择优挑选当年安排预算的专项，充分运用零基预算方式，测算提出资金需求后申报预算。省级财政部门结合财力状况、轻重缓急、实际需求、绩效情况等，综合平衡统筹安排后，按预算编制要求和程序，细化编制到部门（单位）或市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sz w:val="21"/>
                <w:szCs w:val="21"/>
              </w:rPr>
            </w:pPr>
            <w:r>
              <w:rPr>
                <w:rFonts w:hint="default" w:ascii="Helvetica" w:hAnsi="Helvetica" w:eastAsia="Helvetica" w:cs="Helvetica"/>
                <w:b/>
                <w:i w:val="0"/>
                <w:caps w:val="0"/>
                <w:color w:val="333333"/>
                <w:spacing w:val="0"/>
                <w:sz w:val="32"/>
                <w:szCs w:val="32"/>
                <w:bdr w:val="none" w:color="auto" w:sz="0" w:space="0"/>
              </w:rPr>
              <w:t>（三）在专项分配方式上。</w:t>
            </w:r>
            <w:r>
              <w:rPr>
                <w:rFonts w:hint="default" w:ascii="Helvetica" w:hAnsi="Helvetica" w:eastAsia="Helvetica" w:cs="Helvetica"/>
                <w:i w:val="0"/>
                <w:caps w:val="0"/>
                <w:color w:val="333333"/>
                <w:spacing w:val="0"/>
                <w:sz w:val="32"/>
                <w:szCs w:val="32"/>
                <w:bdr w:val="none" w:color="auto" w:sz="0" w:space="0"/>
              </w:rPr>
              <w:t>坚持“大干大支持、多干多支持、不干不支持”的鲜明导向，激发各级干事创业的积极性，</w:t>
            </w:r>
            <w:r>
              <w:rPr>
                <w:rFonts w:hint="default" w:ascii="Helvetica" w:hAnsi="Helvetica" w:eastAsia="Helvetica" w:cs="Helvetica"/>
                <w:b/>
                <w:i w:val="0"/>
                <w:caps w:val="0"/>
                <w:color w:val="333333"/>
                <w:spacing w:val="0"/>
                <w:sz w:val="32"/>
                <w:szCs w:val="32"/>
                <w:bdr w:val="none" w:color="auto" w:sz="0" w:space="0"/>
              </w:rPr>
              <w:t>明确规定:</w:t>
            </w:r>
            <w:r>
              <w:rPr>
                <w:rFonts w:hint="default" w:ascii="Helvetica" w:hAnsi="Helvetica" w:eastAsia="Helvetica" w:cs="Helvetica"/>
                <w:i w:val="0"/>
                <w:caps w:val="0"/>
                <w:color w:val="333333"/>
                <w:spacing w:val="0"/>
                <w:sz w:val="32"/>
                <w:szCs w:val="32"/>
                <w:bdr w:val="none" w:color="auto" w:sz="0" w:space="0"/>
              </w:rPr>
              <w:t>安排的省本级支出项目主要采取项目法分配；安排对市县转移支付，除中央有明确规定，或按照人数、面积、任务量和标准等测算安排的外，其余专项分配以项目法为主，因素法为辅。对单个项目的支持额度应与政策目标、项目需求、建设规划等相适应，避免因额度过小造成无法实施。分配时应适当提高资金使用集中度，按项目法分配的城乡基础设施建设、农林水、产业发展等方面的专项资金，主要采取竞争性评审、分片区分年度滚动安排等方式，并逐步扩大到其他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sz w:val="21"/>
                <w:szCs w:val="21"/>
              </w:rPr>
            </w:pPr>
            <w:r>
              <w:rPr>
                <w:rFonts w:hint="default" w:ascii="Helvetica" w:hAnsi="Helvetica" w:eastAsia="Helvetica" w:cs="Helvetica"/>
                <w:b/>
                <w:i w:val="0"/>
                <w:caps w:val="0"/>
                <w:color w:val="333333"/>
                <w:spacing w:val="0"/>
                <w:sz w:val="32"/>
                <w:szCs w:val="32"/>
                <w:bdr w:val="none" w:color="auto" w:sz="0" w:space="0"/>
              </w:rPr>
              <w:t>（四）在专项管理机制上。</w:t>
            </w:r>
            <w:r>
              <w:rPr>
                <w:rFonts w:hint="default" w:ascii="Helvetica" w:hAnsi="Helvetica" w:eastAsia="Helvetica" w:cs="Helvetica"/>
                <w:i w:val="0"/>
                <w:caps w:val="0"/>
                <w:color w:val="333333"/>
                <w:spacing w:val="0"/>
                <w:sz w:val="32"/>
                <w:szCs w:val="32"/>
                <w:bdr w:val="none" w:color="auto" w:sz="0" w:space="0"/>
              </w:rPr>
              <w:t>坚持“预算硬约束”，将管理机制调整</w:t>
            </w:r>
            <w:r>
              <w:rPr>
                <w:rFonts w:hint="default" w:ascii="Helvetica" w:hAnsi="Helvetica" w:eastAsia="Helvetica" w:cs="Helvetica"/>
                <w:b/>
                <w:i w:val="0"/>
                <w:caps w:val="0"/>
                <w:color w:val="333333"/>
                <w:spacing w:val="0"/>
                <w:sz w:val="32"/>
                <w:szCs w:val="32"/>
                <w:bdr w:val="none" w:color="auto" w:sz="0" w:space="0"/>
              </w:rPr>
              <w:t>优化为：</w:t>
            </w:r>
            <w:r>
              <w:rPr>
                <w:rFonts w:hint="default" w:ascii="Helvetica" w:hAnsi="Helvetica" w:eastAsia="Helvetica" w:cs="Helvetica"/>
                <w:i w:val="0"/>
                <w:caps w:val="0"/>
                <w:color w:val="333333"/>
                <w:spacing w:val="0"/>
                <w:sz w:val="32"/>
                <w:szCs w:val="32"/>
                <w:bdr w:val="none" w:color="auto" w:sz="0" w:space="0"/>
              </w:rPr>
              <w:t>执行中需进一步细化分配的省级专项资金，除中央和省委省政府文件、资金管理办法中已明确分配标准的，或按照人数、面积等客观因素据实测算分配和清算类资金外，200万元以上的，按程序联合报省政府审批。严格控制调剂事项，不得随意调剂专项资金的预算科目、预算级次，确需调剂的，按相关规定办理。不得随意调剂专项资金使用方向和用途，确需调剂时，按程序报省政府审批。调剂事项涉及中央转移支付资金的，按财政部和国家相关部委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sz w:val="21"/>
                <w:szCs w:val="21"/>
              </w:rPr>
            </w:pPr>
            <w:r>
              <w:rPr>
                <w:rFonts w:hint="default" w:ascii="Helvetica" w:hAnsi="Helvetica" w:eastAsia="Helvetica" w:cs="Helvetica"/>
                <w:b/>
                <w:i w:val="0"/>
                <w:caps w:val="0"/>
                <w:color w:val="333333"/>
                <w:spacing w:val="0"/>
                <w:sz w:val="32"/>
                <w:szCs w:val="32"/>
                <w:bdr w:val="none" w:color="auto" w:sz="0" w:space="0"/>
              </w:rPr>
              <w:t>（五）在专项绩效监督上。</w:t>
            </w:r>
            <w:r>
              <w:rPr>
                <w:rFonts w:hint="default" w:ascii="Helvetica" w:hAnsi="Helvetica" w:eastAsia="Helvetica" w:cs="Helvetica"/>
                <w:i w:val="0"/>
                <w:caps w:val="0"/>
                <w:color w:val="333333"/>
                <w:spacing w:val="0"/>
                <w:sz w:val="32"/>
                <w:szCs w:val="32"/>
                <w:bdr w:val="none" w:color="auto" w:sz="0" w:space="0"/>
              </w:rPr>
              <w:t>坚持“花钱必问效，无效必问责”，牢固树立“用好资金、提高绩效，就等于争取了更多支持”的理念，</w:t>
            </w:r>
            <w:r>
              <w:rPr>
                <w:rFonts w:hint="default" w:ascii="Helvetica" w:hAnsi="Helvetica" w:eastAsia="Helvetica" w:cs="Helvetica"/>
                <w:b/>
                <w:i w:val="0"/>
                <w:caps w:val="0"/>
                <w:color w:val="333333"/>
                <w:spacing w:val="0"/>
                <w:sz w:val="32"/>
                <w:szCs w:val="32"/>
                <w:bdr w:val="none" w:color="auto" w:sz="0" w:space="0"/>
              </w:rPr>
              <w:t>明确提出：</w:t>
            </w:r>
            <w:r>
              <w:rPr>
                <w:rFonts w:hint="default" w:ascii="Helvetica" w:hAnsi="Helvetica" w:eastAsia="Helvetica" w:cs="Helvetica"/>
                <w:i w:val="0"/>
                <w:caps w:val="0"/>
                <w:color w:val="333333"/>
                <w:spacing w:val="0"/>
                <w:sz w:val="32"/>
                <w:szCs w:val="32"/>
                <w:bdr w:val="none" w:color="auto" w:sz="0" w:space="0"/>
              </w:rPr>
              <w:t>进一步规范绩效目标管理，所有专项资金应当科学设定绩效目标，并作为项目入库、预算安排和资金分配的前置条件；加强绩效监控，对绩效目标实现程度和预算执行情况进行双监控，偏离绩效目标的及时纠偏，发现问题及时整改；强化结果运用，将绩效评价和监督检查结果作为预算安排、完善政策和改进管理的重要参考和依据；充分发挥财会监督作用，健全完善专项资金监督管理制度，加强日常监管和重点监管，确保财政资金规范、安全、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sz w:val="21"/>
                <w:szCs w:val="21"/>
              </w:rPr>
            </w:pPr>
            <w:r>
              <w:rPr>
                <w:rFonts w:hint="default" w:ascii="Helvetica" w:hAnsi="Helvetica" w:eastAsia="Helvetica" w:cs="Helvetica"/>
                <w:b/>
                <w:i w:val="0"/>
                <w:caps w:val="0"/>
                <w:color w:val="333333"/>
                <w:spacing w:val="0"/>
                <w:sz w:val="32"/>
                <w:szCs w:val="32"/>
                <w:bdr w:val="none" w:color="auto" w:sz="0" w:space="0"/>
              </w:rPr>
              <w:t>（六）在专项调整退出上。</w:t>
            </w:r>
            <w:r>
              <w:rPr>
                <w:rFonts w:hint="default" w:ascii="Helvetica" w:hAnsi="Helvetica" w:eastAsia="Helvetica" w:cs="Helvetica"/>
                <w:i w:val="0"/>
                <w:caps w:val="0"/>
                <w:color w:val="333333"/>
                <w:spacing w:val="0"/>
                <w:sz w:val="32"/>
                <w:szCs w:val="32"/>
                <w:bdr w:val="none" w:color="auto" w:sz="0" w:space="0"/>
              </w:rPr>
              <w:t>坚持“有进有出，动态管理”，进一步增强预算安排的可行性和财政运行可持续性，</w:t>
            </w:r>
            <w:r>
              <w:rPr>
                <w:rFonts w:hint="default" w:ascii="Helvetica" w:hAnsi="Helvetica" w:eastAsia="Helvetica" w:cs="Helvetica"/>
                <w:b/>
                <w:i w:val="0"/>
                <w:caps w:val="0"/>
                <w:color w:val="333333"/>
                <w:spacing w:val="0"/>
                <w:sz w:val="32"/>
                <w:szCs w:val="32"/>
                <w:bdr w:val="none" w:color="auto" w:sz="0" w:space="0"/>
              </w:rPr>
              <w:t>细化规定：</w:t>
            </w:r>
            <w:r>
              <w:rPr>
                <w:rFonts w:hint="default" w:ascii="Helvetica" w:hAnsi="Helvetica" w:eastAsia="Helvetica" w:cs="Helvetica"/>
                <w:i w:val="0"/>
                <w:caps w:val="0"/>
                <w:color w:val="333333"/>
                <w:spacing w:val="0"/>
                <w:sz w:val="32"/>
                <w:szCs w:val="32"/>
                <w:bdr w:val="none" w:color="auto" w:sz="0" w:space="0"/>
              </w:rPr>
              <w:t>不定期对专项资金进行绩效评估，对专项资金设立依据发生变动的，专项资金预算执行进度持续偏低、连续结转的，偏离绩效目标、经济社会发展目标任务或全省工作重点的，专项资金支出结构不合理、管理不规范，对财会、审计、巡视等监督检查反映问题整改不到位的，应当予以调减、调整或归并。对不符合现行法律法规和中央、省级有关规定的，设立依据过期、失效、政策调整或没有必要继续实施的，工作任务完成或总体绩效目标已经实现的，造成财政资金重大损失浪费的，市场竞争机制能够有效调节的，应当予以退出。</w:t>
            </w:r>
          </w:p>
        </w:tc>
      </w:tr>
    </w:tbl>
    <w:p/>
    <w:sectPr>
      <w:pgSz w:w="11906" w:h="16838"/>
      <w:pgMar w:top="1440" w:right="1519" w:bottom="1440" w:left="1576"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A75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孙守涛</cp:lastModifiedBy>
  <dcterms:modified xsi:type="dcterms:W3CDTF">2024-01-08T04:14:15Z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