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8609F">
      <w:pPr>
        <w:spacing w:before="100" w:after="100"/>
        <w:jc w:val="center"/>
        <w:rPr>
          <w:rFonts w:ascii="宋体" w:hAnsi="宋体"/>
          <w:sz w:val="24"/>
          <w:szCs w:val="24"/>
          <w:lang w:val="zh-CN"/>
        </w:rPr>
      </w:pPr>
    </w:p>
    <w:p w14:paraId="628FFF09">
      <w:pPr>
        <w:spacing w:before="100" w:after="100"/>
        <w:jc w:val="center"/>
        <w:rPr>
          <w:rFonts w:ascii="宋体" w:hAnsi="宋体"/>
          <w:sz w:val="24"/>
          <w:szCs w:val="24"/>
          <w:lang w:val="zh-CN"/>
        </w:rPr>
      </w:pPr>
    </w:p>
    <w:p w14:paraId="2D136D62">
      <w:pPr>
        <w:spacing w:before="100" w:after="100"/>
        <w:jc w:val="center"/>
        <w:rPr>
          <w:rFonts w:ascii="宋体" w:hAnsi="宋体"/>
          <w:sz w:val="24"/>
          <w:szCs w:val="24"/>
          <w:lang w:val="zh-CN"/>
        </w:rPr>
      </w:pPr>
    </w:p>
    <w:p w14:paraId="62BAFC3D">
      <w:pPr>
        <w:spacing w:before="100" w:after="100"/>
        <w:jc w:val="center"/>
        <w:rPr>
          <w:rFonts w:ascii="宋体" w:hAnsi="宋体"/>
          <w:sz w:val="24"/>
          <w:szCs w:val="24"/>
          <w:lang w:val="zh-CN"/>
        </w:rPr>
      </w:pPr>
    </w:p>
    <w:p w14:paraId="19C8A0A9">
      <w:pPr>
        <w:spacing w:before="100" w:after="100"/>
        <w:jc w:val="center"/>
        <w:rPr>
          <w:rFonts w:ascii="宋体" w:hAnsi="宋体"/>
          <w:sz w:val="24"/>
          <w:szCs w:val="24"/>
          <w:lang w:val="zh-CN"/>
        </w:rPr>
      </w:pPr>
    </w:p>
    <w:p w14:paraId="3DF6C95D">
      <w:pPr>
        <w:spacing w:before="100" w:after="100"/>
        <w:jc w:val="center"/>
        <w:rPr>
          <w:rFonts w:ascii="宋体" w:hAnsi="宋体"/>
          <w:sz w:val="24"/>
          <w:szCs w:val="24"/>
          <w:lang w:val="zh-CN"/>
        </w:rPr>
      </w:pPr>
    </w:p>
    <w:p w14:paraId="47D7C6A6">
      <w:pPr>
        <w:spacing w:before="100" w:after="100"/>
        <w:jc w:val="center"/>
        <w:rPr>
          <w:rFonts w:ascii="宋体" w:hAnsi="宋体"/>
          <w:sz w:val="24"/>
          <w:szCs w:val="24"/>
          <w:lang w:val="zh-CN"/>
        </w:rPr>
      </w:pPr>
    </w:p>
    <w:p w14:paraId="61019446">
      <w:pPr>
        <w:spacing w:before="100" w:after="100"/>
        <w:jc w:val="center"/>
        <w:rPr>
          <w:rFonts w:ascii="宋体" w:hAnsi="宋体"/>
          <w:sz w:val="24"/>
          <w:szCs w:val="24"/>
          <w:lang w:val="zh-CN"/>
        </w:rPr>
      </w:pPr>
    </w:p>
    <w:p w14:paraId="0ACA464A">
      <w:pPr>
        <w:spacing w:before="100" w:after="100"/>
        <w:jc w:val="center"/>
        <w:rPr>
          <w:rFonts w:ascii="宋体" w:hAnsi="宋体"/>
          <w:sz w:val="24"/>
          <w:szCs w:val="24"/>
          <w:lang w:val="zh-CN"/>
        </w:rPr>
      </w:pPr>
    </w:p>
    <w:p w14:paraId="55279E14">
      <w:pPr>
        <w:spacing w:before="100" w:after="100"/>
        <w:jc w:val="center"/>
        <w:rPr>
          <w:rFonts w:ascii="宋体" w:hAnsi="宋体"/>
          <w:sz w:val="24"/>
          <w:szCs w:val="24"/>
          <w:lang w:val="zh-CN"/>
        </w:rPr>
      </w:pPr>
    </w:p>
    <w:p w14:paraId="1006DDA9">
      <w:pPr>
        <w:spacing w:before="100" w:after="100"/>
        <w:jc w:val="center"/>
        <w:rPr>
          <w:rFonts w:ascii="宋体" w:hAnsi="宋体"/>
          <w:sz w:val="24"/>
          <w:szCs w:val="24"/>
          <w:lang w:val="zh-CN"/>
        </w:rPr>
      </w:pPr>
    </w:p>
    <w:p w14:paraId="1AAE3B85">
      <w:pPr>
        <w:spacing w:before="100" w:after="100"/>
        <w:jc w:val="center"/>
        <w:rPr>
          <w:rFonts w:ascii="宋体" w:hAnsi="宋体"/>
          <w:sz w:val="24"/>
          <w:szCs w:val="24"/>
          <w:lang w:val="zh-CN"/>
        </w:rPr>
      </w:pPr>
    </w:p>
    <w:p w14:paraId="766AC5FF">
      <w:pPr>
        <w:spacing w:before="100" w:after="100"/>
        <w:jc w:val="center"/>
        <w:rPr>
          <w:rFonts w:ascii="宋体" w:hAnsi="宋体"/>
          <w:sz w:val="24"/>
          <w:szCs w:val="24"/>
          <w:lang w:val="zh-CN"/>
        </w:rPr>
      </w:pPr>
      <w:r>
        <w:rPr>
          <w:rFonts w:hint="eastAsia" w:ascii="宋体" w:hAnsi="宋体"/>
          <w:sz w:val="24"/>
          <w:szCs w:val="24"/>
          <w:lang w:val="zh-CN"/>
        </w:rPr>
        <w:t>2022年度</w:t>
      </w:r>
    </w:p>
    <w:p w14:paraId="61BFEEA2">
      <w:pPr>
        <w:spacing w:before="100" w:after="100"/>
        <w:jc w:val="center"/>
        <w:rPr>
          <w:rFonts w:ascii="宋体" w:hAnsi="宋体"/>
          <w:sz w:val="24"/>
          <w:szCs w:val="24"/>
          <w:lang w:val="zh-CN"/>
        </w:rPr>
      </w:pPr>
      <w:r>
        <w:rPr>
          <w:rFonts w:hint="eastAsia" w:ascii="宋体" w:hAnsi="宋体"/>
          <w:sz w:val="24"/>
          <w:szCs w:val="24"/>
          <w:lang w:val="zh-CN"/>
        </w:rPr>
        <w:t>甘肃省白龙江林业职工宣教中心部门决算</w:t>
      </w:r>
    </w:p>
    <w:p w14:paraId="03629A49">
      <w:pPr>
        <w:spacing w:before="100" w:after="100"/>
        <w:jc w:val="center"/>
        <w:rPr>
          <w:rFonts w:ascii="宋体" w:hAnsi="宋体"/>
          <w:sz w:val="24"/>
          <w:szCs w:val="24"/>
          <w:lang w:val="zh-CN"/>
        </w:rPr>
      </w:pPr>
    </w:p>
    <w:p w14:paraId="6668AE2B">
      <w:pPr>
        <w:spacing w:before="100" w:after="100"/>
        <w:jc w:val="center"/>
        <w:rPr>
          <w:rFonts w:ascii="宋体" w:hAnsi="宋体"/>
          <w:sz w:val="24"/>
          <w:szCs w:val="24"/>
          <w:lang w:val="zh-CN"/>
        </w:rPr>
      </w:pPr>
    </w:p>
    <w:p w14:paraId="767F69D9">
      <w:pPr>
        <w:spacing w:before="100" w:after="100"/>
        <w:jc w:val="center"/>
        <w:rPr>
          <w:rFonts w:ascii="宋体" w:hAnsi="宋体"/>
          <w:sz w:val="24"/>
          <w:szCs w:val="24"/>
          <w:lang w:val="zh-CN"/>
        </w:rPr>
      </w:pPr>
    </w:p>
    <w:p w14:paraId="650431ED">
      <w:pPr>
        <w:spacing w:before="100" w:after="100"/>
        <w:jc w:val="center"/>
        <w:rPr>
          <w:rFonts w:ascii="宋体" w:hAnsi="宋体"/>
          <w:sz w:val="24"/>
          <w:szCs w:val="24"/>
          <w:lang w:val="zh-CN"/>
        </w:rPr>
      </w:pPr>
    </w:p>
    <w:p w14:paraId="49D9BC47">
      <w:pPr>
        <w:spacing w:before="100" w:after="100"/>
        <w:jc w:val="center"/>
        <w:rPr>
          <w:rFonts w:ascii="宋体" w:hAnsi="宋体"/>
          <w:sz w:val="24"/>
          <w:szCs w:val="24"/>
          <w:lang w:val="zh-CN"/>
        </w:rPr>
      </w:pPr>
    </w:p>
    <w:p w14:paraId="0B39BE4D">
      <w:pPr>
        <w:spacing w:before="100" w:after="100"/>
        <w:jc w:val="center"/>
        <w:rPr>
          <w:rFonts w:ascii="宋体" w:hAnsi="宋体"/>
          <w:sz w:val="24"/>
          <w:szCs w:val="24"/>
          <w:lang w:val="zh-CN"/>
        </w:rPr>
      </w:pPr>
    </w:p>
    <w:p w14:paraId="52D9302D">
      <w:pPr>
        <w:spacing w:before="100" w:after="100"/>
        <w:jc w:val="center"/>
        <w:rPr>
          <w:rFonts w:ascii="宋体" w:hAnsi="宋体"/>
          <w:sz w:val="24"/>
          <w:szCs w:val="24"/>
          <w:lang w:val="zh-CN"/>
        </w:rPr>
      </w:pPr>
    </w:p>
    <w:p w14:paraId="0CB8F42E">
      <w:pPr>
        <w:spacing w:before="100" w:after="100"/>
        <w:jc w:val="center"/>
        <w:rPr>
          <w:rFonts w:ascii="宋体" w:hAnsi="宋体"/>
          <w:sz w:val="24"/>
          <w:szCs w:val="24"/>
          <w:lang w:val="zh-CN"/>
        </w:rPr>
      </w:pPr>
    </w:p>
    <w:p w14:paraId="24E05A45">
      <w:pPr>
        <w:spacing w:before="100" w:after="100"/>
        <w:jc w:val="center"/>
        <w:rPr>
          <w:rFonts w:ascii="宋体" w:hAnsi="宋体"/>
          <w:sz w:val="24"/>
          <w:szCs w:val="24"/>
          <w:lang w:val="zh-CN"/>
        </w:rPr>
      </w:pPr>
    </w:p>
    <w:p w14:paraId="1E945850">
      <w:pPr>
        <w:spacing w:before="100" w:after="100"/>
        <w:jc w:val="center"/>
        <w:rPr>
          <w:rFonts w:ascii="宋体" w:hAnsi="宋体"/>
          <w:sz w:val="24"/>
          <w:szCs w:val="24"/>
          <w:lang w:val="zh-CN"/>
        </w:rPr>
      </w:pPr>
    </w:p>
    <w:p w14:paraId="1078281B">
      <w:pPr>
        <w:spacing w:before="100" w:after="100"/>
        <w:jc w:val="center"/>
        <w:rPr>
          <w:rFonts w:ascii="宋体" w:hAnsi="宋体"/>
          <w:sz w:val="24"/>
          <w:szCs w:val="24"/>
          <w:lang w:val="zh-CN"/>
        </w:rPr>
      </w:pPr>
    </w:p>
    <w:p w14:paraId="24AE76C8">
      <w:pPr>
        <w:spacing w:before="100" w:after="100"/>
        <w:jc w:val="center"/>
        <w:rPr>
          <w:rFonts w:ascii="宋体" w:hAnsi="宋体"/>
          <w:sz w:val="24"/>
          <w:szCs w:val="24"/>
          <w:lang w:val="zh-CN"/>
        </w:rPr>
      </w:pPr>
    </w:p>
    <w:p w14:paraId="47B91FE4">
      <w:pPr>
        <w:spacing w:before="100" w:after="100"/>
        <w:jc w:val="center"/>
        <w:rPr>
          <w:rFonts w:ascii="宋体" w:hAnsi="宋体"/>
          <w:sz w:val="24"/>
          <w:szCs w:val="24"/>
          <w:lang w:val="zh-CN"/>
        </w:rPr>
      </w:pPr>
    </w:p>
    <w:p w14:paraId="3CAFFC3A">
      <w:pPr>
        <w:spacing w:before="100" w:after="100"/>
        <w:jc w:val="center"/>
        <w:rPr>
          <w:rFonts w:ascii="宋体" w:hAnsi="宋体"/>
          <w:sz w:val="24"/>
          <w:szCs w:val="24"/>
          <w:lang w:val="zh-CN"/>
        </w:rPr>
      </w:pPr>
    </w:p>
    <w:p w14:paraId="4118246A">
      <w:pPr>
        <w:spacing w:before="100" w:after="100"/>
        <w:jc w:val="center"/>
        <w:rPr>
          <w:rFonts w:ascii="宋体" w:hAnsi="宋体"/>
          <w:sz w:val="24"/>
          <w:szCs w:val="24"/>
          <w:lang w:val="zh-CN"/>
        </w:rPr>
      </w:pPr>
    </w:p>
    <w:p w14:paraId="3B723F6F">
      <w:pPr>
        <w:spacing w:before="100" w:after="100"/>
        <w:jc w:val="center"/>
        <w:rPr>
          <w:rFonts w:ascii="宋体" w:hAnsi="宋体"/>
          <w:sz w:val="24"/>
          <w:szCs w:val="24"/>
          <w:lang w:val="zh-CN"/>
        </w:rPr>
      </w:pPr>
    </w:p>
    <w:p w14:paraId="35395901">
      <w:pPr>
        <w:spacing w:before="100" w:after="100"/>
        <w:jc w:val="center"/>
        <w:rPr>
          <w:rFonts w:ascii="宋体" w:hAnsi="宋体"/>
          <w:sz w:val="24"/>
          <w:szCs w:val="24"/>
          <w:lang w:val="zh-CN"/>
        </w:rPr>
      </w:pPr>
    </w:p>
    <w:p w14:paraId="628EF1AE">
      <w:pPr>
        <w:spacing w:before="100" w:after="100"/>
        <w:jc w:val="center"/>
        <w:rPr>
          <w:rFonts w:ascii="宋体" w:hAnsi="宋体"/>
          <w:sz w:val="24"/>
          <w:szCs w:val="24"/>
          <w:lang w:val="zh-CN"/>
        </w:rPr>
      </w:pPr>
    </w:p>
    <w:p w14:paraId="58E7C177">
      <w:pPr>
        <w:spacing w:before="100" w:after="100"/>
        <w:jc w:val="center"/>
        <w:rPr>
          <w:rFonts w:ascii="宋体" w:hAnsi="宋体"/>
          <w:sz w:val="24"/>
          <w:szCs w:val="24"/>
          <w:lang w:val="zh-CN"/>
        </w:rPr>
      </w:pPr>
      <w:r>
        <w:rPr>
          <w:rFonts w:hint="eastAsia" w:ascii="宋体" w:hAnsi="宋体"/>
          <w:b/>
          <w:sz w:val="24"/>
          <w:szCs w:val="24"/>
          <w:lang w:val="zh-CN"/>
        </w:rPr>
        <w:t>目录</w:t>
      </w:r>
    </w:p>
    <w:p w14:paraId="2E689861">
      <w:pPr>
        <w:spacing w:before="100" w:after="100"/>
        <w:jc w:val="left"/>
        <w:rPr>
          <w:rFonts w:ascii="宋体" w:hAnsi="宋体"/>
          <w:sz w:val="24"/>
          <w:szCs w:val="24"/>
          <w:lang w:val="zh-CN"/>
        </w:rPr>
      </w:pPr>
      <w:r>
        <w:rPr>
          <w:rFonts w:hint="eastAsia" w:ascii="宋体" w:hAnsi="宋体"/>
          <w:b/>
          <w:sz w:val="24"/>
          <w:szCs w:val="24"/>
          <w:lang w:val="zh-CN"/>
        </w:rPr>
        <w:t>第一部分部门概况</w:t>
      </w:r>
    </w:p>
    <w:p w14:paraId="1EE05630">
      <w:pPr>
        <w:spacing w:before="100" w:after="100"/>
        <w:jc w:val="left"/>
        <w:rPr>
          <w:rFonts w:ascii="宋体" w:hAnsi="宋体"/>
          <w:sz w:val="24"/>
          <w:szCs w:val="24"/>
          <w:lang w:val="zh-CN"/>
        </w:rPr>
      </w:pPr>
      <w:r>
        <w:rPr>
          <w:rFonts w:hint="eastAsia" w:ascii="宋体" w:hAnsi="宋体"/>
          <w:sz w:val="24"/>
          <w:szCs w:val="24"/>
          <w:lang w:val="zh-CN"/>
        </w:rPr>
        <w:t>一、部门职责</w:t>
      </w:r>
    </w:p>
    <w:p w14:paraId="76D43055">
      <w:pPr>
        <w:spacing w:before="100" w:after="100"/>
        <w:jc w:val="left"/>
        <w:rPr>
          <w:rFonts w:ascii="宋体" w:hAnsi="宋体"/>
          <w:sz w:val="24"/>
          <w:szCs w:val="24"/>
          <w:lang w:val="zh-CN"/>
        </w:rPr>
      </w:pPr>
      <w:r>
        <w:rPr>
          <w:rFonts w:hint="eastAsia" w:ascii="宋体" w:hAnsi="宋体"/>
          <w:sz w:val="24"/>
          <w:szCs w:val="24"/>
          <w:lang w:val="zh-CN"/>
        </w:rPr>
        <w:t>二、机构设置</w:t>
      </w:r>
    </w:p>
    <w:p w14:paraId="1AD568FF">
      <w:pPr>
        <w:spacing w:before="100" w:after="100"/>
        <w:jc w:val="left"/>
        <w:rPr>
          <w:rFonts w:ascii="宋体" w:hAnsi="宋体"/>
          <w:sz w:val="24"/>
          <w:szCs w:val="24"/>
          <w:lang w:val="zh-CN"/>
        </w:rPr>
      </w:pPr>
      <w:r>
        <w:rPr>
          <w:rFonts w:hint="eastAsia" w:ascii="宋体" w:hAnsi="宋体"/>
          <w:b/>
          <w:sz w:val="24"/>
          <w:szCs w:val="24"/>
          <w:lang w:val="zh-CN"/>
        </w:rPr>
        <w:t>第二部分2022年度部门决算表</w:t>
      </w:r>
    </w:p>
    <w:p w14:paraId="5B25A86A">
      <w:pPr>
        <w:spacing w:before="100" w:after="100"/>
        <w:jc w:val="left"/>
        <w:rPr>
          <w:rFonts w:ascii="宋体" w:hAnsi="宋体"/>
          <w:sz w:val="24"/>
          <w:szCs w:val="24"/>
          <w:lang w:val="zh-CN"/>
        </w:rPr>
      </w:pPr>
      <w:r>
        <w:rPr>
          <w:rFonts w:hint="eastAsia" w:ascii="宋体" w:hAnsi="宋体"/>
          <w:sz w:val="24"/>
          <w:szCs w:val="24"/>
          <w:lang w:val="zh-CN"/>
        </w:rPr>
        <w:t>一、收入支出决算总表</w:t>
      </w:r>
    </w:p>
    <w:p w14:paraId="0892F285">
      <w:pPr>
        <w:spacing w:before="100" w:after="100"/>
        <w:jc w:val="left"/>
        <w:rPr>
          <w:rFonts w:ascii="宋体" w:hAnsi="宋体"/>
          <w:sz w:val="24"/>
          <w:szCs w:val="24"/>
          <w:lang w:val="zh-CN"/>
        </w:rPr>
      </w:pPr>
      <w:r>
        <w:rPr>
          <w:rFonts w:hint="eastAsia" w:ascii="宋体" w:hAnsi="宋体"/>
          <w:sz w:val="24"/>
          <w:szCs w:val="24"/>
          <w:lang w:val="zh-CN"/>
        </w:rPr>
        <w:t>二、收入决算表</w:t>
      </w:r>
    </w:p>
    <w:p w14:paraId="2FC4FC0A">
      <w:pPr>
        <w:spacing w:before="100" w:after="100"/>
        <w:jc w:val="left"/>
        <w:rPr>
          <w:rFonts w:ascii="宋体" w:hAnsi="宋体"/>
          <w:sz w:val="24"/>
          <w:szCs w:val="24"/>
          <w:lang w:val="zh-CN"/>
        </w:rPr>
      </w:pPr>
      <w:r>
        <w:rPr>
          <w:rFonts w:hint="eastAsia" w:ascii="宋体" w:hAnsi="宋体"/>
          <w:sz w:val="24"/>
          <w:szCs w:val="24"/>
          <w:lang w:val="zh-CN"/>
        </w:rPr>
        <w:t>三、支出决算表</w:t>
      </w:r>
    </w:p>
    <w:p w14:paraId="353CE0C0">
      <w:pPr>
        <w:spacing w:before="100" w:after="100"/>
        <w:jc w:val="left"/>
        <w:rPr>
          <w:rFonts w:ascii="宋体" w:hAnsi="宋体"/>
          <w:sz w:val="24"/>
          <w:szCs w:val="24"/>
          <w:lang w:val="zh-CN"/>
        </w:rPr>
      </w:pPr>
      <w:r>
        <w:rPr>
          <w:rFonts w:hint="eastAsia" w:ascii="宋体" w:hAnsi="宋体"/>
          <w:sz w:val="24"/>
          <w:szCs w:val="24"/>
          <w:lang w:val="zh-CN"/>
        </w:rPr>
        <w:t>四、财政拨款收入支出决算总表</w:t>
      </w:r>
    </w:p>
    <w:p w14:paraId="5751BB2E">
      <w:pPr>
        <w:spacing w:before="100" w:after="100"/>
        <w:jc w:val="left"/>
        <w:rPr>
          <w:rFonts w:ascii="宋体" w:hAnsi="宋体"/>
          <w:sz w:val="24"/>
          <w:szCs w:val="24"/>
          <w:lang w:val="zh-CN"/>
        </w:rPr>
      </w:pPr>
      <w:r>
        <w:rPr>
          <w:rFonts w:hint="eastAsia" w:ascii="宋体" w:hAnsi="宋体"/>
          <w:sz w:val="24"/>
          <w:szCs w:val="24"/>
          <w:lang w:val="zh-CN"/>
        </w:rPr>
        <w:t>五、一般公共预算财政拨款支出决算表</w:t>
      </w:r>
    </w:p>
    <w:p w14:paraId="1DF20F1B">
      <w:pPr>
        <w:spacing w:before="100" w:after="100"/>
        <w:jc w:val="left"/>
        <w:rPr>
          <w:rFonts w:ascii="宋体" w:hAnsi="宋体"/>
          <w:sz w:val="24"/>
          <w:szCs w:val="24"/>
          <w:lang w:val="zh-CN"/>
        </w:rPr>
      </w:pPr>
      <w:r>
        <w:rPr>
          <w:rFonts w:hint="eastAsia" w:ascii="宋体" w:hAnsi="宋体"/>
          <w:sz w:val="24"/>
          <w:szCs w:val="24"/>
          <w:lang w:val="zh-CN"/>
        </w:rPr>
        <w:t>六、一般公共预算财政拨款基本支出决算明细表</w:t>
      </w:r>
    </w:p>
    <w:p w14:paraId="05487E9C">
      <w:pPr>
        <w:spacing w:before="100" w:after="100"/>
        <w:jc w:val="left"/>
        <w:rPr>
          <w:rFonts w:ascii="宋体" w:hAnsi="宋体"/>
          <w:sz w:val="24"/>
          <w:szCs w:val="24"/>
          <w:lang w:val="zh-CN"/>
        </w:rPr>
      </w:pPr>
      <w:r>
        <w:rPr>
          <w:rFonts w:hint="eastAsia" w:ascii="宋体" w:hAnsi="宋体"/>
          <w:sz w:val="24"/>
          <w:szCs w:val="24"/>
          <w:lang w:val="zh-CN"/>
        </w:rPr>
        <w:t>七、政府性基金预算财政拨款收入支出决算表</w:t>
      </w:r>
    </w:p>
    <w:p w14:paraId="0BE90B16">
      <w:pPr>
        <w:spacing w:before="100" w:after="100"/>
        <w:jc w:val="left"/>
        <w:rPr>
          <w:rFonts w:ascii="宋体" w:hAnsi="宋体"/>
          <w:sz w:val="24"/>
          <w:szCs w:val="24"/>
          <w:lang w:val="zh-CN"/>
        </w:rPr>
      </w:pPr>
      <w:r>
        <w:rPr>
          <w:rFonts w:hint="eastAsia" w:ascii="宋体" w:hAnsi="宋体"/>
          <w:sz w:val="24"/>
          <w:szCs w:val="24"/>
          <w:lang w:val="zh-CN"/>
        </w:rPr>
        <w:t>八、国有资本经营预算财政拨款支出决算表</w:t>
      </w:r>
    </w:p>
    <w:p w14:paraId="2E2512FD">
      <w:pPr>
        <w:spacing w:before="100" w:after="100"/>
        <w:jc w:val="left"/>
        <w:rPr>
          <w:rFonts w:ascii="宋体" w:hAnsi="宋体"/>
          <w:sz w:val="24"/>
          <w:szCs w:val="24"/>
          <w:lang w:val="zh-CN"/>
        </w:rPr>
      </w:pPr>
      <w:r>
        <w:rPr>
          <w:rFonts w:hint="eastAsia" w:ascii="宋体" w:hAnsi="宋体"/>
          <w:sz w:val="24"/>
          <w:szCs w:val="24"/>
          <w:lang w:val="zh-CN"/>
        </w:rPr>
        <w:t>九、财政拨款</w:t>
      </w:r>
      <w:r>
        <w:rPr>
          <w:rFonts w:ascii="宋体" w:hAnsi="宋体"/>
          <w:sz w:val="24"/>
          <w:szCs w:val="24"/>
          <w:lang w:val="zh-CN"/>
        </w:rPr>
        <w:t>“</w:t>
      </w:r>
      <w:r>
        <w:rPr>
          <w:rFonts w:hint="eastAsia" w:ascii="宋体" w:hAnsi="宋体"/>
          <w:sz w:val="24"/>
          <w:szCs w:val="24"/>
          <w:lang w:val="zh-CN"/>
        </w:rPr>
        <w:t>三公</w:t>
      </w:r>
      <w:r>
        <w:rPr>
          <w:rFonts w:ascii="宋体" w:hAnsi="宋体"/>
          <w:sz w:val="24"/>
          <w:szCs w:val="24"/>
          <w:lang w:val="zh-CN"/>
        </w:rPr>
        <w:t>”</w:t>
      </w:r>
      <w:r>
        <w:rPr>
          <w:rFonts w:hint="eastAsia" w:ascii="宋体" w:hAnsi="宋体"/>
          <w:sz w:val="24"/>
          <w:szCs w:val="24"/>
          <w:lang w:val="zh-CN"/>
        </w:rPr>
        <w:t>经费支出决算表</w:t>
      </w:r>
    </w:p>
    <w:p w14:paraId="2F066634">
      <w:pPr>
        <w:spacing w:before="100" w:after="100"/>
        <w:jc w:val="left"/>
        <w:rPr>
          <w:rFonts w:ascii="宋体" w:hAnsi="宋体"/>
          <w:sz w:val="24"/>
          <w:szCs w:val="24"/>
          <w:lang w:val="zh-CN"/>
        </w:rPr>
      </w:pPr>
      <w:r>
        <w:rPr>
          <w:rFonts w:hint="eastAsia" w:ascii="宋体" w:hAnsi="宋体"/>
          <w:b/>
          <w:sz w:val="24"/>
          <w:szCs w:val="24"/>
          <w:lang w:val="zh-CN"/>
        </w:rPr>
        <w:t>第三部分2022年度部门决算情况说明</w:t>
      </w:r>
    </w:p>
    <w:p w14:paraId="4244BCC7">
      <w:pPr>
        <w:spacing w:before="100" w:after="100"/>
        <w:jc w:val="left"/>
        <w:rPr>
          <w:rFonts w:ascii="宋体" w:hAnsi="宋体"/>
          <w:sz w:val="24"/>
          <w:szCs w:val="24"/>
          <w:lang w:val="zh-CN"/>
        </w:rPr>
      </w:pPr>
      <w:r>
        <w:rPr>
          <w:rFonts w:hint="eastAsia" w:ascii="宋体" w:hAnsi="宋体"/>
          <w:sz w:val="24"/>
          <w:szCs w:val="24"/>
          <w:lang w:val="zh-CN"/>
        </w:rPr>
        <w:t>一、收入支出决算总体情况说明</w:t>
      </w:r>
    </w:p>
    <w:p w14:paraId="36CBA021">
      <w:pPr>
        <w:spacing w:before="100" w:after="100"/>
        <w:jc w:val="left"/>
        <w:rPr>
          <w:rFonts w:ascii="宋体" w:hAnsi="宋体"/>
          <w:sz w:val="24"/>
          <w:szCs w:val="24"/>
          <w:lang w:val="zh-CN"/>
        </w:rPr>
      </w:pPr>
      <w:r>
        <w:rPr>
          <w:rFonts w:hint="eastAsia" w:ascii="宋体" w:hAnsi="宋体"/>
          <w:sz w:val="24"/>
          <w:szCs w:val="24"/>
          <w:lang w:val="zh-CN"/>
        </w:rPr>
        <w:t>二、收入决算情况说明</w:t>
      </w:r>
    </w:p>
    <w:p w14:paraId="2660D5CF">
      <w:pPr>
        <w:spacing w:before="100" w:after="100"/>
        <w:jc w:val="left"/>
        <w:rPr>
          <w:rFonts w:ascii="宋体" w:hAnsi="宋体"/>
          <w:sz w:val="24"/>
          <w:szCs w:val="24"/>
          <w:lang w:val="zh-CN"/>
        </w:rPr>
      </w:pPr>
      <w:r>
        <w:rPr>
          <w:rFonts w:hint="eastAsia" w:ascii="宋体" w:hAnsi="宋体"/>
          <w:sz w:val="24"/>
          <w:szCs w:val="24"/>
          <w:lang w:val="zh-CN"/>
        </w:rPr>
        <w:t>三、支出决算情况说明</w:t>
      </w:r>
    </w:p>
    <w:p w14:paraId="11F599F6">
      <w:pPr>
        <w:spacing w:before="100" w:after="100"/>
        <w:jc w:val="left"/>
        <w:rPr>
          <w:rFonts w:ascii="宋体" w:hAnsi="宋体"/>
          <w:sz w:val="24"/>
          <w:szCs w:val="24"/>
          <w:lang w:val="zh-CN"/>
        </w:rPr>
      </w:pPr>
      <w:r>
        <w:rPr>
          <w:rFonts w:hint="eastAsia" w:ascii="宋体" w:hAnsi="宋体"/>
          <w:sz w:val="24"/>
          <w:szCs w:val="24"/>
          <w:lang w:val="zh-CN"/>
        </w:rPr>
        <w:t>四、财政拨款收入支出决算总体情况说明</w:t>
      </w:r>
    </w:p>
    <w:p w14:paraId="000E67EC">
      <w:pPr>
        <w:spacing w:before="100" w:after="100"/>
        <w:jc w:val="left"/>
        <w:rPr>
          <w:rFonts w:ascii="宋体" w:hAnsi="宋体"/>
          <w:sz w:val="24"/>
          <w:szCs w:val="24"/>
          <w:lang w:val="zh-CN"/>
        </w:rPr>
      </w:pPr>
      <w:r>
        <w:rPr>
          <w:rFonts w:hint="eastAsia" w:ascii="宋体" w:hAnsi="宋体"/>
          <w:sz w:val="24"/>
          <w:szCs w:val="24"/>
          <w:lang w:val="zh-CN"/>
        </w:rPr>
        <w:t>五、一般公共预算财政拨款支出决算情况说明</w:t>
      </w:r>
    </w:p>
    <w:p w14:paraId="38801BB1">
      <w:pPr>
        <w:spacing w:before="100" w:after="100"/>
        <w:jc w:val="left"/>
        <w:rPr>
          <w:rFonts w:ascii="宋体" w:hAnsi="宋体"/>
          <w:sz w:val="24"/>
          <w:szCs w:val="24"/>
          <w:lang w:val="zh-CN"/>
        </w:rPr>
      </w:pPr>
      <w:r>
        <w:rPr>
          <w:rFonts w:hint="eastAsia" w:ascii="宋体" w:hAnsi="宋体"/>
          <w:sz w:val="24"/>
          <w:szCs w:val="24"/>
          <w:lang w:val="zh-CN"/>
        </w:rPr>
        <w:t>六、一般公共预算财政拨款基本支出决算情况说明</w:t>
      </w:r>
    </w:p>
    <w:p w14:paraId="109F4D30">
      <w:pPr>
        <w:spacing w:before="100" w:after="100"/>
        <w:jc w:val="left"/>
        <w:rPr>
          <w:rFonts w:ascii="宋体" w:hAnsi="宋体"/>
          <w:sz w:val="24"/>
          <w:szCs w:val="24"/>
          <w:lang w:val="zh-CN"/>
        </w:rPr>
      </w:pPr>
      <w:r>
        <w:rPr>
          <w:rFonts w:hint="eastAsia" w:ascii="宋体" w:hAnsi="宋体"/>
          <w:sz w:val="24"/>
          <w:szCs w:val="24"/>
          <w:lang w:val="zh-CN"/>
        </w:rPr>
        <w:t>七、机关运行经费支出情况说明</w:t>
      </w:r>
    </w:p>
    <w:p w14:paraId="708C7AFD">
      <w:pPr>
        <w:spacing w:before="100" w:after="100"/>
        <w:jc w:val="left"/>
        <w:rPr>
          <w:rFonts w:ascii="宋体" w:hAnsi="宋体"/>
          <w:sz w:val="24"/>
          <w:szCs w:val="24"/>
          <w:lang w:val="zh-CN"/>
        </w:rPr>
      </w:pPr>
      <w:r>
        <w:rPr>
          <w:rFonts w:hint="eastAsia" w:ascii="宋体" w:hAnsi="宋体"/>
          <w:sz w:val="24"/>
          <w:szCs w:val="24"/>
          <w:lang w:val="zh-CN"/>
        </w:rPr>
        <w:t>八、政府采购支出情况说明</w:t>
      </w:r>
    </w:p>
    <w:p w14:paraId="12A19422">
      <w:pPr>
        <w:spacing w:before="100" w:after="100"/>
        <w:jc w:val="left"/>
        <w:rPr>
          <w:rFonts w:ascii="宋体" w:hAnsi="宋体"/>
          <w:sz w:val="24"/>
          <w:szCs w:val="24"/>
          <w:lang w:val="zh-CN"/>
        </w:rPr>
      </w:pPr>
      <w:r>
        <w:rPr>
          <w:rFonts w:hint="eastAsia" w:ascii="宋体" w:hAnsi="宋体"/>
          <w:sz w:val="24"/>
          <w:szCs w:val="24"/>
          <w:lang w:val="zh-CN"/>
        </w:rPr>
        <w:t>九、国有资产占用情况说明</w:t>
      </w:r>
    </w:p>
    <w:p w14:paraId="4D73DF07">
      <w:pPr>
        <w:spacing w:before="100" w:after="100"/>
        <w:jc w:val="left"/>
        <w:rPr>
          <w:rFonts w:ascii="宋体" w:hAnsi="宋体"/>
          <w:sz w:val="24"/>
          <w:szCs w:val="24"/>
          <w:lang w:val="zh-CN"/>
        </w:rPr>
      </w:pPr>
      <w:r>
        <w:rPr>
          <w:rFonts w:hint="eastAsia" w:ascii="宋体" w:hAnsi="宋体"/>
          <w:sz w:val="24"/>
          <w:szCs w:val="24"/>
          <w:lang w:val="zh-CN"/>
        </w:rPr>
        <w:t>十、政府性基金预算财政拨款收支决算情况说明</w:t>
      </w:r>
    </w:p>
    <w:p w14:paraId="30EDBEBF">
      <w:pPr>
        <w:spacing w:before="100" w:after="100"/>
        <w:jc w:val="left"/>
        <w:rPr>
          <w:rFonts w:ascii="宋体" w:hAnsi="宋体"/>
          <w:sz w:val="24"/>
          <w:szCs w:val="24"/>
          <w:lang w:val="zh-CN"/>
        </w:rPr>
      </w:pPr>
      <w:r>
        <w:rPr>
          <w:rFonts w:hint="eastAsia" w:ascii="宋体" w:hAnsi="宋体"/>
          <w:sz w:val="24"/>
          <w:szCs w:val="24"/>
          <w:lang w:val="zh-CN"/>
        </w:rPr>
        <w:t>十一、国有资本经营预算财政拨款支出情况说明</w:t>
      </w:r>
    </w:p>
    <w:p w14:paraId="15AC7BF7">
      <w:pPr>
        <w:spacing w:before="100" w:after="100"/>
        <w:jc w:val="left"/>
        <w:rPr>
          <w:rFonts w:ascii="宋体" w:hAnsi="宋体"/>
          <w:sz w:val="24"/>
          <w:szCs w:val="24"/>
          <w:lang w:val="zh-CN"/>
        </w:rPr>
      </w:pPr>
      <w:r>
        <w:rPr>
          <w:rFonts w:hint="eastAsia" w:ascii="宋体" w:hAnsi="宋体"/>
          <w:sz w:val="24"/>
          <w:szCs w:val="24"/>
          <w:lang w:val="zh-CN"/>
        </w:rPr>
        <w:t>十二、财政拨款</w:t>
      </w:r>
      <w:r>
        <w:rPr>
          <w:rFonts w:ascii="宋体" w:hAnsi="宋体"/>
          <w:sz w:val="24"/>
          <w:szCs w:val="24"/>
          <w:lang w:val="zh-CN"/>
        </w:rPr>
        <w:t>“</w:t>
      </w:r>
      <w:r>
        <w:rPr>
          <w:rFonts w:hint="eastAsia" w:ascii="宋体" w:hAnsi="宋体"/>
          <w:sz w:val="24"/>
          <w:szCs w:val="24"/>
          <w:lang w:val="zh-CN"/>
        </w:rPr>
        <w:t>三公</w:t>
      </w:r>
      <w:r>
        <w:rPr>
          <w:rFonts w:ascii="宋体" w:hAnsi="宋体"/>
          <w:sz w:val="24"/>
          <w:szCs w:val="24"/>
          <w:lang w:val="zh-CN"/>
        </w:rPr>
        <w:t>”</w:t>
      </w:r>
      <w:r>
        <w:rPr>
          <w:rFonts w:hint="eastAsia" w:ascii="宋体" w:hAnsi="宋体"/>
          <w:sz w:val="24"/>
          <w:szCs w:val="24"/>
          <w:lang w:val="zh-CN"/>
        </w:rPr>
        <w:t>经费支出决算情况说明</w:t>
      </w:r>
    </w:p>
    <w:p w14:paraId="7F9404FA">
      <w:pPr>
        <w:spacing w:before="100" w:after="100"/>
        <w:jc w:val="left"/>
        <w:rPr>
          <w:rFonts w:ascii="宋体" w:hAnsi="宋体"/>
          <w:sz w:val="24"/>
          <w:szCs w:val="24"/>
          <w:lang w:val="zh-CN"/>
        </w:rPr>
      </w:pPr>
      <w:r>
        <w:rPr>
          <w:rFonts w:hint="eastAsia" w:ascii="宋体" w:hAnsi="宋体"/>
          <w:b/>
          <w:sz w:val="24"/>
          <w:szCs w:val="24"/>
          <w:lang w:val="zh-CN"/>
        </w:rPr>
        <w:t>第四部分预算绩效情况说明</w:t>
      </w:r>
    </w:p>
    <w:p w14:paraId="5AA9187F">
      <w:pPr>
        <w:spacing w:before="100" w:after="100"/>
        <w:jc w:val="left"/>
        <w:rPr>
          <w:rFonts w:ascii="宋体" w:hAnsi="宋体"/>
          <w:sz w:val="24"/>
          <w:szCs w:val="24"/>
          <w:lang w:val="zh-CN"/>
        </w:rPr>
      </w:pPr>
      <w:r>
        <w:rPr>
          <w:rFonts w:hint="eastAsia" w:ascii="宋体" w:hAnsi="宋体"/>
          <w:b/>
          <w:sz w:val="24"/>
          <w:szCs w:val="24"/>
          <w:lang w:val="zh-CN"/>
        </w:rPr>
        <w:t>第五部分名词解释</w:t>
      </w:r>
    </w:p>
    <w:p w14:paraId="7A330E3E">
      <w:pPr>
        <w:spacing w:before="100" w:after="100"/>
        <w:jc w:val="center"/>
        <w:rPr>
          <w:rFonts w:ascii="宋体" w:hAnsi="宋体"/>
          <w:sz w:val="24"/>
          <w:szCs w:val="24"/>
          <w:lang w:val="zh-CN"/>
        </w:rPr>
      </w:pPr>
    </w:p>
    <w:p w14:paraId="77F36B49">
      <w:pPr>
        <w:spacing w:before="100" w:after="100"/>
        <w:jc w:val="center"/>
        <w:rPr>
          <w:rFonts w:ascii="宋体" w:hAnsi="宋体"/>
          <w:sz w:val="24"/>
          <w:szCs w:val="24"/>
          <w:lang w:val="zh-CN"/>
        </w:rPr>
      </w:pPr>
    </w:p>
    <w:p w14:paraId="01B0162E">
      <w:pPr>
        <w:spacing w:before="100" w:after="100"/>
        <w:jc w:val="center"/>
        <w:rPr>
          <w:rFonts w:ascii="宋体" w:hAnsi="宋体"/>
          <w:sz w:val="24"/>
          <w:szCs w:val="24"/>
          <w:lang w:val="zh-CN"/>
        </w:rPr>
      </w:pPr>
    </w:p>
    <w:p w14:paraId="48FCCF5D">
      <w:pPr>
        <w:spacing w:before="100" w:after="100"/>
        <w:jc w:val="center"/>
        <w:rPr>
          <w:rFonts w:ascii="宋体" w:hAnsi="宋体"/>
          <w:sz w:val="24"/>
          <w:szCs w:val="24"/>
          <w:lang w:val="zh-CN"/>
        </w:rPr>
      </w:pPr>
    </w:p>
    <w:p w14:paraId="54C56397">
      <w:pPr>
        <w:spacing w:before="100" w:after="100"/>
        <w:jc w:val="center"/>
        <w:rPr>
          <w:rFonts w:ascii="宋体" w:hAnsi="宋体"/>
          <w:sz w:val="24"/>
          <w:szCs w:val="24"/>
          <w:lang w:val="zh-CN"/>
        </w:rPr>
      </w:pPr>
    </w:p>
    <w:p w14:paraId="41950F73">
      <w:pPr>
        <w:spacing w:before="100" w:after="100"/>
        <w:jc w:val="center"/>
        <w:rPr>
          <w:rFonts w:ascii="宋体" w:hAnsi="宋体"/>
          <w:sz w:val="24"/>
          <w:szCs w:val="24"/>
          <w:lang w:val="zh-CN"/>
        </w:rPr>
      </w:pPr>
    </w:p>
    <w:p w14:paraId="1A40764A">
      <w:pPr>
        <w:spacing w:before="100" w:after="100"/>
        <w:jc w:val="center"/>
        <w:rPr>
          <w:rFonts w:ascii="宋体" w:hAnsi="宋体"/>
          <w:sz w:val="24"/>
          <w:szCs w:val="24"/>
          <w:lang w:val="zh-CN"/>
        </w:rPr>
      </w:pPr>
    </w:p>
    <w:p w14:paraId="60E227B8">
      <w:pPr>
        <w:spacing w:before="100" w:after="100"/>
        <w:jc w:val="center"/>
        <w:rPr>
          <w:rFonts w:ascii="宋体" w:hAnsi="宋体"/>
          <w:sz w:val="24"/>
          <w:szCs w:val="24"/>
          <w:lang w:val="zh-CN"/>
        </w:rPr>
      </w:pPr>
      <w:r>
        <w:rPr>
          <w:rFonts w:hint="eastAsia" w:ascii="宋体" w:hAnsi="宋体"/>
          <w:b/>
          <w:sz w:val="24"/>
          <w:szCs w:val="24"/>
          <w:lang w:val="zh-CN"/>
        </w:rPr>
        <w:t>第一部分部门概况</w:t>
      </w:r>
    </w:p>
    <w:p w14:paraId="70DA3B88">
      <w:pPr>
        <w:spacing w:before="100" w:after="100"/>
        <w:ind w:firstLine="480" w:firstLineChars="200"/>
        <w:jc w:val="left"/>
        <w:rPr>
          <w:rFonts w:ascii="宋体" w:hAnsi="宋体"/>
          <w:sz w:val="24"/>
          <w:szCs w:val="24"/>
          <w:lang w:val="zh-CN"/>
        </w:rPr>
      </w:pPr>
      <w:r>
        <w:rPr>
          <w:rFonts w:hint="eastAsia" w:ascii="宋体" w:hAnsi="宋体"/>
          <w:sz w:val="24"/>
          <w:szCs w:val="24"/>
          <w:lang w:val="zh-CN"/>
        </w:rPr>
        <w:t>一、部门职责</w:t>
      </w:r>
    </w:p>
    <w:p w14:paraId="73294CBD">
      <w:pPr>
        <w:spacing w:before="100" w:after="100"/>
        <w:ind w:firstLine="480" w:firstLineChars="200"/>
        <w:jc w:val="left"/>
        <w:rPr>
          <w:rFonts w:hint="eastAsia" w:ascii="宋体" w:hAnsi="宋体" w:eastAsia="宋体"/>
          <w:sz w:val="24"/>
          <w:szCs w:val="24"/>
          <w:lang w:val="zh-CN"/>
        </w:rPr>
      </w:pPr>
      <w:r>
        <w:rPr>
          <w:rFonts w:hint="eastAsia" w:ascii="宋体" w:hAnsi="宋体" w:eastAsia="宋体"/>
          <w:sz w:val="24"/>
          <w:szCs w:val="24"/>
          <w:lang w:val="zh-CN"/>
        </w:rPr>
        <w:t>承担白龙江林区林业管理的新闻宣传、理论研究工作；负责白龙江林区党员干部职工的思想政治教育工作；协助主管部门做好白龙江林区突发事件舆情应对工作；负责白龙江林区有关数据的统计与分析。</w:t>
      </w:r>
    </w:p>
    <w:p w14:paraId="13B64E0F">
      <w:pPr>
        <w:numPr>
          <w:ilvl w:val="0"/>
          <w:numId w:val="0"/>
        </w:numPr>
        <w:spacing w:before="100" w:after="100"/>
        <w:ind w:firstLine="480" w:firstLineChars="200"/>
        <w:jc w:val="left"/>
        <w:rPr>
          <w:rFonts w:hint="eastAsia" w:ascii="宋体" w:hAnsi="宋体"/>
          <w:sz w:val="24"/>
          <w:szCs w:val="24"/>
          <w:lang w:val="zh-CN"/>
        </w:rPr>
      </w:pPr>
      <w:r>
        <w:rPr>
          <w:rFonts w:hint="eastAsia" w:ascii="宋体" w:hAnsi="宋体"/>
          <w:sz w:val="24"/>
          <w:szCs w:val="24"/>
          <w:lang w:val="en-US" w:eastAsia="zh-CN"/>
        </w:rPr>
        <w:t>二、</w:t>
      </w:r>
      <w:r>
        <w:rPr>
          <w:rFonts w:hint="eastAsia" w:ascii="宋体" w:hAnsi="宋体"/>
          <w:sz w:val="24"/>
          <w:szCs w:val="24"/>
          <w:lang w:val="zh-CN"/>
        </w:rPr>
        <w:t>机构设置</w:t>
      </w:r>
    </w:p>
    <w:p w14:paraId="4758B064">
      <w:pPr>
        <w:spacing w:before="100" w:after="100"/>
        <w:ind w:firstLine="480" w:firstLineChars="200"/>
        <w:jc w:val="left"/>
        <w:rPr>
          <w:rFonts w:hint="eastAsia" w:ascii="宋体" w:hAnsi="宋体" w:eastAsia="宋体"/>
          <w:sz w:val="24"/>
          <w:szCs w:val="24"/>
          <w:lang w:val="zh-CN"/>
        </w:rPr>
      </w:pPr>
      <w:r>
        <w:rPr>
          <w:rFonts w:hint="eastAsia" w:ascii="宋体" w:hAnsi="宋体" w:cs="Arial"/>
          <w:sz w:val="24"/>
          <w:szCs w:val="24"/>
          <w:lang w:val="zh-CN"/>
        </w:rPr>
        <w:t>宣教中心内设</w:t>
      </w:r>
      <w:r>
        <w:rPr>
          <w:rFonts w:hint="eastAsia" w:ascii="宋体" w:hAnsi="宋体" w:cs="Arial"/>
          <w:sz w:val="24"/>
          <w:szCs w:val="24"/>
          <w:lang w:val="en-US" w:eastAsia="zh-CN"/>
        </w:rPr>
        <w:t>3</w:t>
      </w:r>
      <w:r>
        <w:rPr>
          <w:rFonts w:hint="eastAsia" w:ascii="宋体" w:hAnsi="宋体" w:cs="Arial"/>
          <w:sz w:val="24"/>
          <w:szCs w:val="24"/>
          <w:lang w:val="zh-CN"/>
        </w:rPr>
        <w:t>个科室，</w:t>
      </w:r>
      <w:r>
        <w:rPr>
          <w:rFonts w:hint="eastAsia" w:ascii="宋体" w:hAnsi="宋体" w:eastAsia="宋体"/>
          <w:sz w:val="24"/>
          <w:szCs w:val="24"/>
          <w:lang w:val="zh-CN"/>
        </w:rPr>
        <w:t>包括：办公室、财务科、总务科</w:t>
      </w:r>
    </w:p>
    <w:p w14:paraId="2B3C4106">
      <w:pPr>
        <w:spacing w:before="100" w:after="100"/>
        <w:jc w:val="center"/>
        <w:rPr>
          <w:rFonts w:ascii="宋体" w:hAnsi="宋体"/>
          <w:sz w:val="24"/>
          <w:szCs w:val="24"/>
          <w:lang w:val="zh-CN"/>
        </w:rPr>
      </w:pPr>
      <w:r>
        <w:rPr>
          <w:rFonts w:hint="eastAsia" w:ascii="宋体" w:hAnsi="宋体"/>
          <w:b/>
          <w:sz w:val="24"/>
          <w:szCs w:val="24"/>
          <w:lang w:val="zh-CN"/>
        </w:rPr>
        <w:t>第二部分2022年度部门决算表</w:t>
      </w:r>
    </w:p>
    <w:p w14:paraId="0514E119">
      <w:pPr>
        <w:spacing w:before="100" w:after="100"/>
        <w:ind w:firstLine="480" w:firstLineChars="200"/>
        <w:jc w:val="left"/>
        <w:rPr>
          <w:rFonts w:hint="eastAsia" w:ascii="宋体" w:hAnsi="宋体"/>
          <w:sz w:val="24"/>
          <w:szCs w:val="24"/>
          <w:lang w:val="zh-CN"/>
        </w:rPr>
      </w:pPr>
      <w:r>
        <w:rPr>
          <w:rFonts w:hint="eastAsia" w:ascii="宋体" w:hAnsi="宋体"/>
          <w:sz w:val="24"/>
          <w:szCs w:val="24"/>
          <w:lang w:val="zh-CN"/>
        </w:rPr>
        <w:t>一、收入支出决算总表（</w:t>
      </w:r>
      <w:r>
        <w:rPr>
          <w:rFonts w:hint="eastAsia" w:ascii="宋体" w:hAnsi="宋体" w:cs="Arial"/>
          <w:color w:val="auto"/>
          <w:sz w:val="24"/>
          <w:szCs w:val="24"/>
          <w:lang w:val="zh-CN"/>
        </w:rPr>
        <w:t>详见附件</w:t>
      </w:r>
      <w:r>
        <w:rPr>
          <w:rFonts w:hint="eastAsia" w:ascii="宋体" w:hAnsi="宋体" w:cs="Arial"/>
          <w:color w:val="auto"/>
          <w:sz w:val="24"/>
          <w:szCs w:val="24"/>
          <w:lang w:val="en-US" w:eastAsia="zh-CN"/>
        </w:rPr>
        <w:t>1公开01表</w:t>
      </w:r>
      <w:r>
        <w:rPr>
          <w:rFonts w:hint="eastAsia" w:ascii="宋体" w:hAnsi="宋体"/>
          <w:sz w:val="24"/>
          <w:szCs w:val="24"/>
          <w:lang w:val="zh-CN"/>
        </w:rPr>
        <w:t>）</w:t>
      </w:r>
    </w:p>
    <w:p w14:paraId="0EA0FCC0">
      <w:pPr>
        <w:spacing w:before="100" w:after="100"/>
        <w:ind w:firstLine="480" w:firstLineChars="200"/>
        <w:jc w:val="left"/>
        <w:rPr>
          <w:rFonts w:ascii="宋体" w:hAnsi="宋体"/>
          <w:sz w:val="24"/>
          <w:szCs w:val="24"/>
          <w:lang w:val="zh-CN"/>
        </w:rPr>
      </w:pPr>
      <w:r>
        <w:rPr>
          <w:rFonts w:hint="eastAsia" w:ascii="宋体" w:hAnsi="宋体"/>
          <w:sz w:val="24"/>
          <w:szCs w:val="24"/>
          <w:lang w:val="zh-CN"/>
        </w:rPr>
        <w:t>二、收入决算表（</w:t>
      </w:r>
      <w:r>
        <w:rPr>
          <w:rFonts w:hint="eastAsia" w:ascii="宋体" w:hAnsi="宋体" w:cs="Arial"/>
          <w:color w:val="auto"/>
          <w:sz w:val="24"/>
          <w:szCs w:val="24"/>
          <w:lang w:val="zh-CN"/>
        </w:rPr>
        <w:t>详见附件</w:t>
      </w:r>
      <w:r>
        <w:rPr>
          <w:rFonts w:hint="eastAsia" w:ascii="宋体" w:hAnsi="宋体" w:cs="Arial"/>
          <w:color w:val="auto"/>
          <w:sz w:val="24"/>
          <w:szCs w:val="24"/>
          <w:lang w:val="en-US" w:eastAsia="zh-CN"/>
        </w:rPr>
        <w:t>1公开02表</w:t>
      </w:r>
      <w:r>
        <w:rPr>
          <w:rFonts w:hint="eastAsia" w:ascii="宋体" w:hAnsi="宋体"/>
          <w:sz w:val="24"/>
          <w:szCs w:val="24"/>
          <w:lang w:val="zh-CN"/>
        </w:rPr>
        <w:t>）</w:t>
      </w:r>
    </w:p>
    <w:p w14:paraId="29A55518">
      <w:pPr>
        <w:spacing w:before="100" w:after="100"/>
        <w:ind w:firstLine="480" w:firstLineChars="200"/>
        <w:jc w:val="left"/>
        <w:rPr>
          <w:rFonts w:ascii="宋体" w:hAnsi="宋体"/>
          <w:sz w:val="24"/>
          <w:szCs w:val="24"/>
          <w:lang w:val="zh-CN"/>
        </w:rPr>
      </w:pPr>
      <w:r>
        <w:rPr>
          <w:rFonts w:hint="eastAsia" w:ascii="宋体" w:hAnsi="宋体"/>
          <w:sz w:val="24"/>
          <w:szCs w:val="24"/>
          <w:lang w:val="zh-CN"/>
        </w:rPr>
        <w:t>三、支出决算表（</w:t>
      </w:r>
      <w:r>
        <w:rPr>
          <w:rFonts w:hint="eastAsia" w:ascii="宋体" w:hAnsi="宋体" w:cs="Arial"/>
          <w:color w:val="auto"/>
          <w:sz w:val="24"/>
          <w:szCs w:val="24"/>
          <w:lang w:val="zh-CN"/>
        </w:rPr>
        <w:t>详见附件</w:t>
      </w:r>
      <w:r>
        <w:rPr>
          <w:rFonts w:hint="eastAsia" w:ascii="宋体" w:hAnsi="宋体" w:cs="Arial"/>
          <w:color w:val="auto"/>
          <w:sz w:val="24"/>
          <w:szCs w:val="24"/>
          <w:lang w:val="en-US" w:eastAsia="zh-CN"/>
        </w:rPr>
        <w:t>1公开03表</w:t>
      </w:r>
      <w:r>
        <w:rPr>
          <w:rFonts w:hint="eastAsia" w:ascii="宋体" w:hAnsi="宋体"/>
          <w:sz w:val="24"/>
          <w:szCs w:val="24"/>
          <w:lang w:val="zh-CN"/>
        </w:rPr>
        <w:t>）</w:t>
      </w:r>
    </w:p>
    <w:p w14:paraId="71F61535">
      <w:pPr>
        <w:spacing w:before="100" w:after="100"/>
        <w:ind w:firstLine="480" w:firstLineChars="200"/>
        <w:jc w:val="left"/>
        <w:rPr>
          <w:rFonts w:ascii="宋体" w:hAnsi="宋体"/>
          <w:sz w:val="24"/>
          <w:szCs w:val="24"/>
          <w:lang w:val="zh-CN"/>
        </w:rPr>
      </w:pPr>
      <w:r>
        <w:rPr>
          <w:rFonts w:hint="eastAsia" w:ascii="宋体" w:hAnsi="宋体"/>
          <w:sz w:val="24"/>
          <w:szCs w:val="24"/>
          <w:lang w:val="zh-CN"/>
        </w:rPr>
        <w:t>四、财政拨款收入支出决算总表（</w:t>
      </w:r>
      <w:r>
        <w:rPr>
          <w:rFonts w:hint="eastAsia" w:ascii="宋体" w:hAnsi="宋体" w:cs="Arial"/>
          <w:color w:val="auto"/>
          <w:sz w:val="24"/>
          <w:szCs w:val="24"/>
          <w:lang w:val="zh-CN"/>
        </w:rPr>
        <w:t>详见附件</w:t>
      </w:r>
      <w:r>
        <w:rPr>
          <w:rFonts w:hint="eastAsia" w:ascii="宋体" w:hAnsi="宋体" w:cs="Arial"/>
          <w:color w:val="auto"/>
          <w:sz w:val="24"/>
          <w:szCs w:val="24"/>
          <w:lang w:val="en-US" w:eastAsia="zh-CN"/>
        </w:rPr>
        <w:t>1公开04表</w:t>
      </w:r>
      <w:r>
        <w:rPr>
          <w:rFonts w:hint="eastAsia" w:ascii="宋体" w:hAnsi="宋体"/>
          <w:sz w:val="24"/>
          <w:szCs w:val="24"/>
          <w:lang w:val="zh-CN"/>
        </w:rPr>
        <w:t>）</w:t>
      </w:r>
    </w:p>
    <w:p w14:paraId="3CE9969A">
      <w:pPr>
        <w:spacing w:before="100" w:after="100"/>
        <w:ind w:firstLine="480" w:firstLineChars="200"/>
        <w:jc w:val="left"/>
        <w:rPr>
          <w:rFonts w:ascii="宋体" w:hAnsi="宋体"/>
          <w:sz w:val="24"/>
          <w:szCs w:val="24"/>
          <w:lang w:val="zh-CN"/>
        </w:rPr>
      </w:pPr>
      <w:r>
        <w:rPr>
          <w:rFonts w:hint="eastAsia" w:ascii="宋体" w:hAnsi="宋体"/>
          <w:sz w:val="24"/>
          <w:szCs w:val="24"/>
          <w:lang w:val="zh-CN"/>
        </w:rPr>
        <w:t>五、一般公共预算财政拨款支出决算表（</w:t>
      </w:r>
      <w:r>
        <w:rPr>
          <w:rFonts w:hint="eastAsia" w:ascii="宋体" w:hAnsi="宋体" w:cs="Arial"/>
          <w:color w:val="auto"/>
          <w:sz w:val="24"/>
          <w:szCs w:val="24"/>
          <w:lang w:val="zh-CN"/>
        </w:rPr>
        <w:t>详见附件</w:t>
      </w:r>
      <w:r>
        <w:rPr>
          <w:rFonts w:hint="eastAsia" w:ascii="宋体" w:hAnsi="宋体" w:cs="Arial"/>
          <w:color w:val="auto"/>
          <w:sz w:val="24"/>
          <w:szCs w:val="24"/>
          <w:lang w:val="en-US" w:eastAsia="zh-CN"/>
        </w:rPr>
        <w:t>1公开05表</w:t>
      </w:r>
      <w:r>
        <w:rPr>
          <w:rFonts w:hint="eastAsia" w:ascii="宋体" w:hAnsi="宋体"/>
          <w:sz w:val="24"/>
          <w:szCs w:val="24"/>
          <w:lang w:val="zh-CN"/>
        </w:rPr>
        <w:t>）</w:t>
      </w:r>
    </w:p>
    <w:p w14:paraId="2EBDA2C5">
      <w:pPr>
        <w:spacing w:before="100" w:after="100"/>
        <w:ind w:firstLine="480" w:firstLineChars="200"/>
        <w:jc w:val="left"/>
        <w:rPr>
          <w:rFonts w:ascii="宋体" w:hAnsi="宋体"/>
          <w:sz w:val="24"/>
          <w:szCs w:val="24"/>
          <w:lang w:val="zh-CN"/>
        </w:rPr>
      </w:pPr>
      <w:r>
        <w:rPr>
          <w:rFonts w:hint="eastAsia" w:ascii="宋体" w:hAnsi="宋体"/>
          <w:sz w:val="24"/>
          <w:szCs w:val="24"/>
          <w:lang w:val="zh-CN"/>
        </w:rPr>
        <w:t>六、一般公共预算财政拨款基本支出决算明细表（</w:t>
      </w:r>
      <w:r>
        <w:rPr>
          <w:rFonts w:hint="eastAsia" w:ascii="宋体" w:hAnsi="宋体" w:cs="Arial"/>
          <w:color w:val="auto"/>
          <w:sz w:val="24"/>
          <w:szCs w:val="24"/>
          <w:lang w:val="zh-CN"/>
        </w:rPr>
        <w:t>详见附件</w:t>
      </w:r>
      <w:r>
        <w:rPr>
          <w:rFonts w:hint="eastAsia" w:ascii="宋体" w:hAnsi="宋体" w:cs="Arial"/>
          <w:color w:val="auto"/>
          <w:sz w:val="24"/>
          <w:szCs w:val="24"/>
          <w:lang w:val="en-US" w:eastAsia="zh-CN"/>
        </w:rPr>
        <w:t>1公开06表</w:t>
      </w:r>
      <w:r>
        <w:rPr>
          <w:rFonts w:hint="eastAsia" w:ascii="宋体" w:hAnsi="宋体"/>
          <w:sz w:val="24"/>
          <w:szCs w:val="24"/>
          <w:lang w:val="zh-CN"/>
        </w:rPr>
        <w:t>）</w:t>
      </w:r>
    </w:p>
    <w:p w14:paraId="24AC480C">
      <w:pPr>
        <w:spacing w:before="100" w:after="100"/>
        <w:ind w:firstLine="480" w:firstLineChars="200"/>
        <w:jc w:val="left"/>
        <w:rPr>
          <w:rFonts w:ascii="宋体" w:hAnsi="宋体"/>
          <w:sz w:val="24"/>
          <w:szCs w:val="24"/>
          <w:lang w:val="zh-CN"/>
        </w:rPr>
      </w:pPr>
      <w:r>
        <w:rPr>
          <w:rFonts w:hint="eastAsia" w:ascii="宋体" w:hAnsi="宋体"/>
          <w:sz w:val="24"/>
          <w:szCs w:val="24"/>
          <w:lang w:val="zh-CN"/>
        </w:rPr>
        <w:t>七、政府性基金预算财政拨款收入支出决算表（</w:t>
      </w:r>
      <w:r>
        <w:rPr>
          <w:rFonts w:hint="eastAsia" w:ascii="宋体" w:hAnsi="宋体" w:cs="Arial"/>
          <w:color w:val="auto"/>
          <w:sz w:val="24"/>
          <w:szCs w:val="24"/>
          <w:lang w:val="zh-CN"/>
        </w:rPr>
        <w:t>详见附件</w:t>
      </w:r>
      <w:r>
        <w:rPr>
          <w:rFonts w:hint="eastAsia" w:ascii="宋体" w:hAnsi="宋体" w:cs="Arial"/>
          <w:color w:val="auto"/>
          <w:sz w:val="24"/>
          <w:szCs w:val="24"/>
          <w:lang w:val="en-US" w:eastAsia="zh-CN"/>
        </w:rPr>
        <w:t>1公开07表</w:t>
      </w:r>
      <w:r>
        <w:rPr>
          <w:rFonts w:hint="eastAsia" w:ascii="宋体" w:hAnsi="宋体" w:cs="Arial"/>
          <w:color w:val="auto"/>
          <w:sz w:val="24"/>
          <w:szCs w:val="24"/>
          <w:lang w:val="zh-CN"/>
        </w:rPr>
        <w:t>，本</w:t>
      </w:r>
      <w:bookmarkStart w:id="0" w:name="OLE_LINK1"/>
      <w:r>
        <w:rPr>
          <w:rFonts w:hint="eastAsia" w:ascii="宋体" w:hAnsi="宋体" w:cs="Arial"/>
          <w:color w:val="auto"/>
          <w:sz w:val="24"/>
          <w:szCs w:val="24"/>
          <w:lang w:val="en-US" w:eastAsia="zh-CN"/>
        </w:rPr>
        <w:t>单位</w:t>
      </w:r>
      <w:bookmarkEnd w:id="0"/>
      <w:r>
        <w:rPr>
          <w:rFonts w:hint="eastAsia" w:ascii="宋体" w:hAnsi="宋体" w:cs="Arial"/>
          <w:color w:val="auto"/>
          <w:sz w:val="24"/>
          <w:szCs w:val="24"/>
          <w:lang w:val="zh-CN"/>
        </w:rPr>
        <w:t>无相关数据，故本表无数据</w:t>
      </w:r>
      <w:r>
        <w:rPr>
          <w:rFonts w:hint="eastAsia" w:ascii="宋体" w:hAnsi="宋体"/>
          <w:sz w:val="24"/>
          <w:szCs w:val="24"/>
          <w:lang w:val="zh-CN"/>
        </w:rPr>
        <w:t>)</w:t>
      </w:r>
    </w:p>
    <w:p w14:paraId="5C35C238">
      <w:pPr>
        <w:spacing w:before="100" w:after="100"/>
        <w:ind w:firstLine="480" w:firstLineChars="200"/>
        <w:jc w:val="left"/>
        <w:rPr>
          <w:rFonts w:ascii="宋体" w:hAnsi="宋体"/>
          <w:sz w:val="24"/>
          <w:szCs w:val="24"/>
          <w:lang w:val="zh-CN"/>
        </w:rPr>
      </w:pPr>
      <w:r>
        <w:rPr>
          <w:rFonts w:hint="eastAsia" w:ascii="宋体" w:hAnsi="宋体"/>
          <w:sz w:val="24"/>
          <w:szCs w:val="24"/>
          <w:lang w:val="zh-CN"/>
        </w:rPr>
        <w:t>八、国有资本经营预算财政拨款支出决算表（</w:t>
      </w:r>
      <w:r>
        <w:rPr>
          <w:rFonts w:hint="eastAsia" w:ascii="宋体" w:hAnsi="宋体" w:cs="Arial"/>
          <w:color w:val="auto"/>
          <w:sz w:val="24"/>
          <w:szCs w:val="24"/>
          <w:lang w:val="zh-CN"/>
        </w:rPr>
        <w:t>详见附件</w:t>
      </w:r>
      <w:r>
        <w:rPr>
          <w:rFonts w:hint="eastAsia" w:ascii="宋体" w:hAnsi="宋体" w:cs="Arial"/>
          <w:color w:val="auto"/>
          <w:sz w:val="24"/>
          <w:szCs w:val="24"/>
          <w:lang w:val="en-US" w:eastAsia="zh-CN"/>
        </w:rPr>
        <w:t>1公开08表</w:t>
      </w:r>
      <w:r>
        <w:rPr>
          <w:rFonts w:hint="eastAsia" w:ascii="宋体" w:hAnsi="宋体" w:cs="Arial"/>
          <w:color w:val="auto"/>
          <w:sz w:val="24"/>
          <w:szCs w:val="24"/>
          <w:lang w:val="zh-CN"/>
        </w:rPr>
        <w:t>，本</w:t>
      </w:r>
      <w:r>
        <w:rPr>
          <w:rFonts w:hint="eastAsia" w:ascii="宋体" w:hAnsi="宋体" w:cs="Arial"/>
          <w:color w:val="auto"/>
          <w:sz w:val="24"/>
          <w:szCs w:val="24"/>
          <w:lang w:val="en-US" w:eastAsia="zh-CN"/>
        </w:rPr>
        <w:t>单位</w:t>
      </w:r>
      <w:r>
        <w:rPr>
          <w:rFonts w:hint="eastAsia" w:ascii="宋体" w:hAnsi="宋体" w:cs="Arial"/>
          <w:color w:val="auto"/>
          <w:sz w:val="24"/>
          <w:szCs w:val="24"/>
          <w:lang w:val="zh-CN"/>
        </w:rPr>
        <w:t>无相关数据，故本表无数据</w:t>
      </w:r>
      <w:r>
        <w:rPr>
          <w:rFonts w:hint="eastAsia" w:ascii="宋体" w:hAnsi="宋体"/>
          <w:sz w:val="24"/>
          <w:szCs w:val="24"/>
          <w:lang w:val="zh-CN"/>
        </w:rPr>
        <w:t>)</w:t>
      </w:r>
    </w:p>
    <w:p w14:paraId="06B75786">
      <w:pPr>
        <w:spacing w:before="100" w:after="100"/>
        <w:ind w:firstLine="480" w:firstLineChars="200"/>
        <w:jc w:val="left"/>
        <w:rPr>
          <w:rFonts w:ascii="宋体" w:hAnsi="宋体"/>
          <w:sz w:val="24"/>
          <w:szCs w:val="24"/>
          <w:lang w:val="zh-CN"/>
        </w:rPr>
      </w:pPr>
      <w:r>
        <w:rPr>
          <w:rFonts w:hint="eastAsia" w:ascii="宋体" w:hAnsi="宋体"/>
          <w:sz w:val="24"/>
          <w:szCs w:val="24"/>
          <w:lang w:val="zh-CN"/>
        </w:rPr>
        <w:t>九、财政拨款</w:t>
      </w:r>
      <w:r>
        <w:rPr>
          <w:rFonts w:ascii="宋体" w:hAnsi="宋体"/>
          <w:sz w:val="24"/>
          <w:szCs w:val="24"/>
          <w:lang w:val="zh-CN"/>
        </w:rPr>
        <w:t>“</w:t>
      </w:r>
      <w:r>
        <w:rPr>
          <w:rFonts w:hint="eastAsia" w:ascii="宋体" w:hAnsi="宋体"/>
          <w:sz w:val="24"/>
          <w:szCs w:val="24"/>
          <w:lang w:val="zh-CN"/>
        </w:rPr>
        <w:t>三公</w:t>
      </w:r>
      <w:r>
        <w:rPr>
          <w:rFonts w:ascii="宋体" w:hAnsi="宋体"/>
          <w:sz w:val="24"/>
          <w:szCs w:val="24"/>
          <w:lang w:val="zh-CN"/>
        </w:rPr>
        <w:t>”</w:t>
      </w:r>
      <w:r>
        <w:rPr>
          <w:rFonts w:hint="eastAsia" w:ascii="宋体" w:hAnsi="宋体"/>
          <w:sz w:val="24"/>
          <w:szCs w:val="24"/>
          <w:lang w:val="zh-CN"/>
        </w:rPr>
        <w:t>经费支出决算表（</w:t>
      </w:r>
      <w:r>
        <w:rPr>
          <w:rFonts w:hint="eastAsia" w:ascii="宋体" w:hAnsi="宋体" w:cs="Arial"/>
          <w:color w:val="auto"/>
          <w:sz w:val="24"/>
          <w:szCs w:val="24"/>
          <w:lang w:val="zh-CN"/>
        </w:rPr>
        <w:t>详见附件</w:t>
      </w:r>
      <w:r>
        <w:rPr>
          <w:rFonts w:hint="eastAsia" w:ascii="宋体" w:hAnsi="宋体" w:cs="Arial"/>
          <w:color w:val="auto"/>
          <w:sz w:val="24"/>
          <w:szCs w:val="24"/>
          <w:lang w:val="en-US" w:eastAsia="zh-CN"/>
        </w:rPr>
        <w:t>1公开09表</w:t>
      </w:r>
      <w:r>
        <w:rPr>
          <w:rFonts w:hint="eastAsia" w:ascii="宋体" w:hAnsi="宋体"/>
          <w:sz w:val="24"/>
          <w:szCs w:val="24"/>
          <w:lang w:val="zh-CN"/>
        </w:rPr>
        <w:t>）</w:t>
      </w:r>
    </w:p>
    <w:p w14:paraId="2AC23BE8">
      <w:pPr>
        <w:spacing w:before="100" w:after="100"/>
        <w:jc w:val="center"/>
        <w:rPr>
          <w:rFonts w:ascii="宋体" w:hAnsi="宋体"/>
          <w:sz w:val="24"/>
          <w:szCs w:val="24"/>
          <w:lang w:val="zh-CN"/>
        </w:rPr>
      </w:pPr>
      <w:r>
        <w:rPr>
          <w:rFonts w:hint="eastAsia" w:ascii="宋体" w:hAnsi="宋体"/>
          <w:b/>
          <w:sz w:val="24"/>
          <w:szCs w:val="24"/>
          <w:lang w:val="zh-CN"/>
        </w:rPr>
        <w:t>第三部分2022年度部门决算情况说明</w:t>
      </w:r>
    </w:p>
    <w:p w14:paraId="2D2C7C35">
      <w:pPr>
        <w:spacing w:before="100" w:after="100"/>
        <w:ind w:firstLine="480" w:firstLineChars="200"/>
        <w:jc w:val="left"/>
        <w:rPr>
          <w:rFonts w:ascii="宋体" w:hAnsi="宋体"/>
          <w:sz w:val="24"/>
          <w:szCs w:val="24"/>
          <w:lang w:val="zh-CN"/>
        </w:rPr>
      </w:pPr>
      <w:r>
        <w:rPr>
          <w:rFonts w:hint="eastAsia" w:ascii="宋体" w:hAnsi="宋体"/>
          <w:sz w:val="24"/>
          <w:szCs w:val="24"/>
          <w:lang w:val="zh-CN"/>
        </w:rPr>
        <w:t>一、收入支出决算总体情况说明</w:t>
      </w:r>
    </w:p>
    <w:p w14:paraId="7C0F3007">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s="Times New Roman"/>
          <w:color w:val="FF0000"/>
          <w:sz w:val="24"/>
          <w:szCs w:val="24"/>
          <w:highlight w:val="yellow"/>
          <w:lang w:val="en-US" w:eastAsia="zh-CN"/>
        </w:rPr>
      </w:pPr>
      <w:r>
        <w:rPr>
          <w:rFonts w:hint="eastAsia" w:ascii="宋体" w:hAnsi="宋体"/>
          <w:sz w:val="24"/>
          <w:szCs w:val="24"/>
          <w:lang w:val="zh-CN"/>
        </w:rPr>
        <w:t>2022年度收、支总计</w:t>
      </w:r>
      <w:r>
        <w:rPr>
          <w:rFonts w:hint="eastAsia" w:ascii="宋体" w:hAnsi="宋体"/>
          <w:sz w:val="24"/>
          <w:szCs w:val="24"/>
        </w:rPr>
        <w:t>均为</w:t>
      </w:r>
      <w:r>
        <w:rPr>
          <w:rFonts w:hint="eastAsia" w:ascii="宋体" w:hAnsi="宋体"/>
          <w:sz w:val="24"/>
          <w:szCs w:val="24"/>
          <w:lang w:val="zh-CN"/>
        </w:rPr>
        <w:t>270.08万元。</w:t>
      </w:r>
      <w:r>
        <w:rPr>
          <w:rFonts w:hint="eastAsia" w:ascii="宋体" w:hAnsi="宋体"/>
          <w:sz w:val="24"/>
          <w:szCs w:val="24"/>
        </w:rPr>
        <w:t>与上年度相比,</w:t>
      </w:r>
      <w:r>
        <w:rPr>
          <w:rFonts w:hint="eastAsia" w:ascii="宋体" w:hAnsi="宋体"/>
          <w:sz w:val="24"/>
          <w:szCs w:val="24"/>
          <w:lang w:val="zh-CN"/>
        </w:rPr>
        <w:t>收、支</w:t>
      </w:r>
      <w:r>
        <w:rPr>
          <w:rFonts w:hint="eastAsia" w:ascii="宋体" w:hAnsi="宋体"/>
          <w:sz w:val="24"/>
          <w:szCs w:val="24"/>
        </w:rPr>
        <w:t>总计各</w:t>
      </w:r>
      <w:r>
        <w:rPr>
          <w:rFonts w:hint="eastAsia" w:ascii="宋体" w:hAnsi="宋体"/>
          <w:sz w:val="24"/>
          <w:szCs w:val="24"/>
          <w:lang w:val="zh-CN"/>
        </w:rPr>
        <w:t>减少8.16万元,下降2.93%,</w:t>
      </w:r>
      <w:r>
        <w:rPr>
          <w:rFonts w:hint="eastAsia" w:ascii="宋体" w:hAnsi="宋体"/>
          <w:sz w:val="24"/>
          <w:szCs w:val="24"/>
          <w:lang w:val="en-US" w:eastAsia="zh-CN"/>
        </w:rPr>
        <w:t>下降的</w:t>
      </w:r>
      <w:r>
        <w:rPr>
          <w:rFonts w:hint="eastAsia" w:ascii="宋体" w:hAnsi="宋体"/>
          <w:sz w:val="24"/>
          <w:szCs w:val="24"/>
        </w:rPr>
        <w:t>主要原因是：由于人员比上年减少 ，经费减少。</w:t>
      </w:r>
      <w:r>
        <w:rPr>
          <w:rFonts w:hint="eastAsia" w:ascii="宋体" w:hAnsi="宋体" w:cs="Arial"/>
          <w:color w:val="auto"/>
          <w:sz w:val="24"/>
          <w:szCs w:val="24"/>
          <w:lang w:val="zh-CN"/>
        </w:rPr>
        <w:t>本部分的收入总计包括收入合计</w:t>
      </w:r>
      <w:r>
        <w:rPr>
          <w:rFonts w:hint="eastAsia" w:ascii="宋体" w:hAnsi="宋体" w:cs="Arial"/>
          <w:color w:val="auto"/>
          <w:sz w:val="24"/>
          <w:szCs w:val="24"/>
          <w:lang w:val="en-US" w:eastAsia="zh-CN"/>
        </w:rPr>
        <w:t>253</w:t>
      </w:r>
      <w:r>
        <w:rPr>
          <w:rFonts w:hint="eastAsia" w:ascii="宋体" w:hAnsi="宋体" w:cs="Arial"/>
          <w:color w:val="auto"/>
          <w:sz w:val="24"/>
          <w:szCs w:val="24"/>
          <w:lang w:val="zh-CN"/>
        </w:rPr>
        <w:t>万元、使用非财政拨款结余（含专用结余）</w:t>
      </w:r>
      <w:bookmarkStart w:id="1" w:name="OLE_LINK2"/>
      <w:r>
        <w:rPr>
          <w:rFonts w:hint="eastAsia" w:ascii="宋体" w:hAnsi="宋体" w:cs="Arial"/>
          <w:color w:val="auto"/>
          <w:sz w:val="24"/>
          <w:szCs w:val="24"/>
          <w:lang w:val="en-US" w:eastAsia="zh-CN"/>
        </w:rPr>
        <w:t>0万元</w:t>
      </w:r>
      <w:bookmarkEnd w:id="1"/>
      <w:r>
        <w:rPr>
          <w:rFonts w:hint="eastAsia" w:ascii="宋体" w:hAnsi="宋体" w:cs="Arial"/>
          <w:color w:val="auto"/>
          <w:sz w:val="24"/>
          <w:szCs w:val="24"/>
          <w:lang w:val="zh-CN"/>
        </w:rPr>
        <w:t>、年初结转和结余</w:t>
      </w:r>
      <w:r>
        <w:rPr>
          <w:rFonts w:hint="eastAsia" w:ascii="宋体" w:hAnsi="宋体" w:cs="Arial"/>
          <w:color w:val="auto"/>
          <w:sz w:val="24"/>
          <w:szCs w:val="24"/>
          <w:lang w:val="en-US" w:eastAsia="zh-CN"/>
        </w:rPr>
        <w:t>17.08万元</w:t>
      </w:r>
      <w:r>
        <w:rPr>
          <w:rFonts w:hint="eastAsia" w:ascii="宋体" w:hAnsi="宋体" w:cs="Arial"/>
          <w:color w:val="auto"/>
          <w:sz w:val="24"/>
          <w:szCs w:val="24"/>
          <w:lang w:val="zh-CN"/>
        </w:rPr>
        <w:t>,支出总计包括本年支出合计</w:t>
      </w:r>
      <w:r>
        <w:rPr>
          <w:rFonts w:hint="eastAsia" w:ascii="宋体" w:hAnsi="宋体" w:cs="Arial"/>
          <w:color w:val="auto"/>
          <w:sz w:val="24"/>
          <w:szCs w:val="24"/>
          <w:lang w:val="en-US" w:eastAsia="zh-CN"/>
        </w:rPr>
        <w:t>270.08</w:t>
      </w:r>
      <w:r>
        <w:rPr>
          <w:rFonts w:hint="eastAsia" w:ascii="宋体" w:hAnsi="宋体" w:cs="Arial"/>
          <w:color w:val="auto"/>
          <w:sz w:val="24"/>
          <w:szCs w:val="24"/>
          <w:lang w:val="zh-CN"/>
        </w:rPr>
        <w:t>万元、结余分配</w:t>
      </w:r>
      <w:r>
        <w:rPr>
          <w:rFonts w:hint="eastAsia" w:ascii="宋体" w:hAnsi="宋体" w:cs="Arial"/>
          <w:color w:val="auto"/>
          <w:sz w:val="24"/>
          <w:szCs w:val="24"/>
          <w:lang w:val="en-US" w:eastAsia="zh-CN"/>
        </w:rPr>
        <w:t>0万元</w:t>
      </w:r>
      <w:r>
        <w:rPr>
          <w:rFonts w:hint="eastAsia" w:ascii="宋体" w:hAnsi="宋体" w:cs="Arial"/>
          <w:color w:val="auto"/>
          <w:sz w:val="24"/>
          <w:szCs w:val="24"/>
          <w:lang w:val="zh-CN"/>
        </w:rPr>
        <w:t>、年末结转和结余</w:t>
      </w:r>
      <w:r>
        <w:rPr>
          <w:rFonts w:hint="eastAsia" w:ascii="宋体" w:hAnsi="宋体" w:cs="Arial"/>
          <w:color w:val="auto"/>
          <w:sz w:val="24"/>
          <w:szCs w:val="24"/>
          <w:lang w:val="en-US" w:eastAsia="zh-CN"/>
        </w:rPr>
        <w:t>0万元</w:t>
      </w:r>
      <w:r>
        <w:rPr>
          <w:rFonts w:hint="eastAsia" w:ascii="宋体" w:hAnsi="宋体" w:cs="Arial"/>
          <w:color w:val="auto"/>
          <w:sz w:val="24"/>
          <w:szCs w:val="24"/>
          <w:lang w:val="zh-CN"/>
        </w:rPr>
        <w:t>。</w:t>
      </w:r>
    </w:p>
    <w:p w14:paraId="24E861D5">
      <w:pPr>
        <w:spacing w:before="100" w:after="100"/>
        <w:ind w:firstLine="480" w:firstLineChars="200"/>
        <w:jc w:val="left"/>
        <w:rPr>
          <w:rFonts w:ascii="宋体" w:hAnsi="宋体"/>
          <w:sz w:val="24"/>
          <w:szCs w:val="24"/>
          <w:lang w:val="zh-CN"/>
        </w:rPr>
      </w:pPr>
      <w:r>
        <w:rPr>
          <w:rFonts w:hint="eastAsia" w:ascii="宋体" w:hAnsi="宋体"/>
          <w:sz w:val="24"/>
          <w:szCs w:val="24"/>
          <w:lang w:val="zh-CN"/>
        </w:rPr>
        <w:t>二、收入决算情况说明</w:t>
      </w:r>
    </w:p>
    <w:p w14:paraId="5D02B80E">
      <w:pPr>
        <w:spacing w:before="100" w:after="100"/>
        <w:ind w:firstLine="480" w:firstLineChars="200"/>
        <w:jc w:val="left"/>
        <w:rPr>
          <w:rFonts w:ascii="宋体" w:hAnsi="宋体"/>
          <w:sz w:val="24"/>
          <w:szCs w:val="24"/>
          <w:lang w:val="zh-CN"/>
        </w:rPr>
      </w:pPr>
      <w:r>
        <w:rPr>
          <w:rFonts w:hint="eastAsia" w:ascii="宋体" w:hAnsi="宋体"/>
          <w:sz w:val="24"/>
          <w:szCs w:val="24"/>
          <w:lang w:val="zh-CN"/>
        </w:rPr>
        <w:t>2022年度收入合计253.00万元,其中：财政拨款收入253.00万元,占100.00%。</w:t>
      </w:r>
    </w:p>
    <w:p w14:paraId="7F6842C6">
      <w:pPr>
        <w:spacing w:before="100" w:after="100"/>
        <w:ind w:firstLine="480" w:firstLineChars="200"/>
        <w:jc w:val="left"/>
        <w:rPr>
          <w:rFonts w:ascii="宋体" w:hAnsi="宋体"/>
          <w:sz w:val="24"/>
          <w:szCs w:val="24"/>
          <w:lang w:val="zh-CN"/>
        </w:rPr>
      </w:pPr>
      <w:r>
        <w:rPr>
          <w:rFonts w:hint="eastAsia" w:ascii="宋体" w:hAnsi="宋体"/>
          <w:sz w:val="24"/>
          <w:szCs w:val="24"/>
          <w:lang w:val="zh-CN"/>
        </w:rPr>
        <w:t>三、支出决算情况说明</w:t>
      </w:r>
    </w:p>
    <w:p w14:paraId="00C5FF91">
      <w:pPr>
        <w:spacing w:before="100" w:after="100"/>
        <w:ind w:firstLine="480" w:firstLineChars="200"/>
        <w:jc w:val="left"/>
        <w:rPr>
          <w:rFonts w:ascii="宋体" w:hAnsi="宋体"/>
          <w:sz w:val="24"/>
          <w:szCs w:val="24"/>
          <w:lang w:val="zh-CN"/>
        </w:rPr>
      </w:pPr>
      <w:r>
        <w:rPr>
          <w:rFonts w:hint="eastAsia" w:ascii="宋体" w:hAnsi="宋体"/>
          <w:sz w:val="24"/>
          <w:szCs w:val="24"/>
          <w:lang w:val="zh-CN"/>
        </w:rPr>
        <w:t>2022年度支出合计270.08万元,其中：基本支出270.08万元,占100.00%。</w:t>
      </w:r>
    </w:p>
    <w:p w14:paraId="30D848C8">
      <w:pPr>
        <w:spacing w:before="100" w:after="100"/>
        <w:ind w:firstLine="480" w:firstLineChars="200"/>
        <w:jc w:val="left"/>
        <w:rPr>
          <w:rFonts w:ascii="宋体" w:hAnsi="宋体"/>
          <w:sz w:val="24"/>
          <w:szCs w:val="24"/>
          <w:lang w:val="zh-CN"/>
        </w:rPr>
      </w:pPr>
      <w:r>
        <w:rPr>
          <w:rFonts w:hint="eastAsia" w:ascii="宋体" w:hAnsi="宋体"/>
          <w:sz w:val="24"/>
          <w:szCs w:val="24"/>
          <w:lang w:val="zh-CN"/>
        </w:rPr>
        <w:t>四、财政拨款收入支出决算总体情况说明</w:t>
      </w:r>
    </w:p>
    <w:p w14:paraId="352CAAA9">
      <w:pPr>
        <w:spacing w:before="100" w:after="100"/>
        <w:ind w:firstLine="480" w:firstLineChars="200"/>
        <w:jc w:val="left"/>
        <w:rPr>
          <w:rFonts w:ascii="宋体" w:hAnsi="宋体"/>
          <w:sz w:val="24"/>
          <w:szCs w:val="24"/>
          <w:lang w:val="zh-CN"/>
        </w:rPr>
      </w:pPr>
      <w:r>
        <w:rPr>
          <w:rFonts w:hint="eastAsia" w:ascii="宋体" w:hAnsi="宋体"/>
          <w:sz w:val="24"/>
          <w:szCs w:val="24"/>
          <w:lang w:val="zh-CN"/>
        </w:rPr>
        <w:t>2022年度财政拨款收、支总计</w:t>
      </w:r>
      <w:r>
        <w:rPr>
          <w:rFonts w:hint="eastAsia" w:ascii="宋体" w:hAnsi="宋体"/>
          <w:sz w:val="24"/>
          <w:szCs w:val="24"/>
        </w:rPr>
        <w:t>均为</w:t>
      </w:r>
      <w:r>
        <w:rPr>
          <w:rFonts w:hint="eastAsia" w:ascii="宋体" w:hAnsi="宋体"/>
          <w:sz w:val="24"/>
          <w:szCs w:val="24"/>
          <w:lang w:val="zh-CN"/>
        </w:rPr>
        <w:t>269.65万元。与</w:t>
      </w:r>
      <w:r>
        <w:rPr>
          <w:rFonts w:hint="eastAsia" w:ascii="宋体" w:hAnsi="宋体"/>
          <w:sz w:val="24"/>
          <w:szCs w:val="24"/>
        </w:rPr>
        <w:t>上</w:t>
      </w:r>
      <w:r>
        <w:rPr>
          <w:rFonts w:hint="eastAsia" w:ascii="宋体" w:hAnsi="宋体"/>
          <w:sz w:val="24"/>
          <w:szCs w:val="24"/>
          <w:lang w:val="zh-CN"/>
        </w:rPr>
        <w:t>年相比,各减少8.16万元,下降2.94%，</w:t>
      </w:r>
      <w:r>
        <w:rPr>
          <w:rFonts w:hint="eastAsia" w:ascii="宋体" w:hAnsi="宋体"/>
          <w:sz w:val="24"/>
          <w:szCs w:val="24"/>
          <w:lang w:val="en-US" w:eastAsia="zh-CN"/>
        </w:rPr>
        <w:t>下降的</w:t>
      </w:r>
      <w:r>
        <w:rPr>
          <w:rFonts w:hint="eastAsia" w:ascii="宋体" w:hAnsi="宋体"/>
          <w:sz w:val="24"/>
          <w:szCs w:val="24"/>
        </w:rPr>
        <w:t>主要原因是：由于人员比上年减少 ，经费减少。</w:t>
      </w:r>
    </w:p>
    <w:p w14:paraId="1CC8B95D">
      <w:pPr>
        <w:spacing w:before="100" w:after="100"/>
        <w:ind w:firstLine="480" w:firstLineChars="200"/>
        <w:jc w:val="left"/>
        <w:rPr>
          <w:rFonts w:ascii="宋体" w:hAnsi="宋体"/>
          <w:sz w:val="24"/>
          <w:szCs w:val="24"/>
          <w:lang w:val="zh-CN"/>
        </w:rPr>
      </w:pPr>
      <w:r>
        <w:rPr>
          <w:rFonts w:hint="eastAsia" w:ascii="宋体" w:hAnsi="宋体"/>
          <w:sz w:val="24"/>
          <w:szCs w:val="24"/>
          <w:lang w:val="zh-CN"/>
        </w:rPr>
        <w:t>五、一般公共预算财政拨款支出决算情况说明</w:t>
      </w:r>
    </w:p>
    <w:p w14:paraId="0D04EF68">
      <w:pPr>
        <w:spacing w:before="100" w:after="100"/>
        <w:ind w:firstLine="480" w:firstLineChars="200"/>
        <w:jc w:val="left"/>
        <w:rPr>
          <w:rFonts w:ascii="宋体" w:hAnsi="宋体"/>
          <w:sz w:val="24"/>
          <w:szCs w:val="24"/>
          <w:lang w:val="zh-CN"/>
        </w:rPr>
      </w:pPr>
      <w:r>
        <w:rPr>
          <w:rFonts w:hint="eastAsia" w:ascii="宋体" w:hAnsi="宋体"/>
          <w:sz w:val="24"/>
          <w:szCs w:val="24"/>
          <w:lang w:val="zh-CN"/>
        </w:rPr>
        <w:t>2022年度一般公共预算财政拨款支出269.65万元,较上年决算数减少8.16万元,下降2.94%，</w:t>
      </w:r>
      <w:r>
        <w:rPr>
          <w:rFonts w:hint="eastAsia" w:ascii="宋体" w:hAnsi="宋体"/>
          <w:sz w:val="24"/>
          <w:szCs w:val="24"/>
          <w:lang w:val="en-US" w:eastAsia="zh-CN"/>
        </w:rPr>
        <w:t>下降的</w:t>
      </w:r>
      <w:r>
        <w:rPr>
          <w:rFonts w:hint="eastAsia" w:ascii="宋体" w:hAnsi="宋体"/>
          <w:sz w:val="24"/>
          <w:szCs w:val="24"/>
        </w:rPr>
        <w:t>主要原因是：由于人员比上年减少 ，经费减少。</w:t>
      </w:r>
    </w:p>
    <w:p w14:paraId="217E8B79">
      <w:pPr>
        <w:spacing w:before="100" w:after="100"/>
        <w:ind w:firstLine="482" w:firstLineChars="200"/>
        <w:jc w:val="left"/>
        <w:rPr>
          <w:rFonts w:ascii="宋体" w:hAnsi="宋体"/>
          <w:sz w:val="24"/>
          <w:szCs w:val="24"/>
          <w:lang w:val="zh-CN"/>
        </w:rPr>
      </w:pPr>
      <w:r>
        <w:rPr>
          <w:rFonts w:hint="eastAsia" w:ascii="宋体" w:hAnsi="宋体"/>
          <w:b/>
          <w:sz w:val="24"/>
          <w:szCs w:val="24"/>
          <w:lang w:val="en-US" w:eastAsia="zh-CN"/>
        </w:rPr>
        <w:t>1</w:t>
      </w:r>
      <w:r>
        <w:rPr>
          <w:rFonts w:hint="eastAsia" w:ascii="宋体" w:hAnsi="宋体"/>
          <w:b/>
          <w:sz w:val="24"/>
          <w:szCs w:val="24"/>
          <w:lang w:val="zh-CN"/>
        </w:rPr>
        <w:t>．社会保障和就业支出</w:t>
      </w:r>
      <w:r>
        <w:rPr>
          <w:rFonts w:hint="eastAsia" w:ascii="宋体" w:hAnsi="宋体"/>
          <w:sz w:val="24"/>
          <w:szCs w:val="24"/>
          <w:lang w:val="zh-CN"/>
        </w:rPr>
        <w:t>年初预算数为30.75万元,支出决算为44.79万元,完成年初预算的145.67%,决算数大于预算数的主要原因是人员工资增长。</w:t>
      </w:r>
    </w:p>
    <w:p w14:paraId="3586ABF7">
      <w:pPr>
        <w:spacing w:before="100" w:after="100"/>
        <w:ind w:firstLine="482" w:firstLineChars="200"/>
        <w:jc w:val="left"/>
        <w:rPr>
          <w:rFonts w:hint="eastAsia" w:ascii="宋体" w:hAnsi="宋体" w:cs="Arial"/>
          <w:color w:val="auto"/>
          <w:sz w:val="24"/>
          <w:szCs w:val="24"/>
          <w:lang w:val="zh-CN"/>
        </w:rPr>
      </w:pPr>
      <w:r>
        <w:rPr>
          <w:rFonts w:hint="eastAsia" w:ascii="Times New Roman" w:hAnsi="Times New Roman"/>
          <w:b/>
          <w:sz w:val="24"/>
          <w:szCs w:val="24"/>
          <w:lang w:val="en-US" w:eastAsia="zh-CN"/>
        </w:rPr>
        <w:t>2</w:t>
      </w:r>
      <w:r>
        <w:rPr>
          <w:rFonts w:hint="eastAsia" w:ascii="宋体" w:hAnsi="宋体"/>
          <w:b/>
          <w:sz w:val="24"/>
          <w:szCs w:val="24"/>
          <w:lang w:val="zh-CN"/>
        </w:rPr>
        <w:t>．卫生健康支出</w:t>
      </w:r>
      <w:r>
        <w:rPr>
          <w:rFonts w:hint="eastAsia" w:ascii="宋体" w:hAnsi="宋体"/>
          <w:sz w:val="24"/>
          <w:szCs w:val="24"/>
          <w:lang w:val="zh-CN"/>
        </w:rPr>
        <w:t>年初预算数为16.84万元,支出决算为16.84万元,完成年初预算的100.0%</w:t>
      </w:r>
      <w:r>
        <w:rPr>
          <w:rFonts w:hint="eastAsia" w:ascii="宋体" w:hAnsi="宋体" w:cs="Arial"/>
          <w:color w:val="auto"/>
          <w:sz w:val="24"/>
          <w:szCs w:val="24"/>
          <w:lang w:val="zh-CN"/>
        </w:rPr>
        <w:t>，决算数等于预算数的主要原因是</w:t>
      </w:r>
      <w:r>
        <w:rPr>
          <w:rFonts w:hint="eastAsia" w:ascii="宋体" w:hAnsi="宋体" w:cs="Arial"/>
          <w:color w:val="auto"/>
          <w:sz w:val="24"/>
          <w:szCs w:val="24"/>
          <w:lang w:val="en-US" w:eastAsia="zh-CN"/>
        </w:rPr>
        <w:t>支出严格按照预算执行</w:t>
      </w:r>
      <w:r>
        <w:rPr>
          <w:rFonts w:hint="eastAsia" w:ascii="宋体" w:hAnsi="宋体" w:cs="Arial"/>
          <w:color w:val="auto"/>
          <w:sz w:val="24"/>
          <w:szCs w:val="24"/>
          <w:lang w:val="zh-CN"/>
        </w:rPr>
        <w:t>。</w:t>
      </w:r>
    </w:p>
    <w:p w14:paraId="45B2C00E">
      <w:pPr>
        <w:spacing w:before="100" w:after="100"/>
        <w:ind w:firstLine="482" w:firstLineChars="200"/>
        <w:jc w:val="left"/>
        <w:rPr>
          <w:rFonts w:ascii="宋体" w:hAnsi="宋体"/>
          <w:sz w:val="24"/>
          <w:szCs w:val="24"/>
          <w:lang w:val="zh-CN"/>
        </w:rPr>
      </w:pPr>
      <w:r>
        <w:rPr>
          <w:rFonts w:hint="eastAsia" w:ascii="Times New Roman" w:hAnsi="Times New Roman"/>
          <w:b/>
          <w:sz w:val="24"/>
          <w:szCs w:val="24"/>
          <w:lang w:val="en-US" w:eastAsia="zh-CN"/>
        </w:rPr>
        <w:t>3</w:t>
      </w:r>
      <w:r>
        <w:rPr>
          <w:rFonts w:hint="eastAsia" w:ascii="宋体" w:hAnsi="宋体"/>
          <w:b/>
          <w:sz w:val="24"/>
          <w:szCs w:val="24"/>
          <w:lang w:val="zh-CN"/>
        </w:rPr>
        <w:t>．农林水支出</w:t>
      </w:r>
      <w:r>
        <w:rPr>
          <w:rFonts w:hint="eastAsia" w:ascii="宋体" w:hAnsi="宋体"/>
          <w:sz w:val="24"/>
          <w:szCs w:val="24"/>
          <w:lang w:val="zh-CN"/>
        </w:rPr>
        <w:t>年初预算数为178.06万元,支出决算为186.46万元,完成年初预算的104.72%,决算数大于预算数的主要原因是人员工资增长。</w:t>
      </w:r>
    </w:p>
    <w:p w14:paraId="672E152D">
      <w:pPr>
        <w:spacing w:before="100" w:after="100"/>
        <w:ind w:firstLine="482" w:firstLineChars="200"/>
        <w:jc w:val="left"/>
        <w:rPr>
          <w:rFonts w:ascii="宋体" w:hAnsi="宋体"/>
          <w:color w:val="FF0000"/>
          <w:sz w:val="24"/>
          <w:szCs w:val="24"/>
          <w:lang w:val="zh-CN"/>
        </w:rPr>
      </w:pPr>
      <w:r>
        <w:rPr>
          <w:rFonts w:hint="eastAsia" w:ascii="Times New Roman" w:hAnsi="Times New Roman"/>
          <w:b/>
          <w:sz w:val="24"/>
          <w:szCs w:val="24"/>
          <w:lang w:val="en-US" w:eastAsia="zh-CN"/>
        </w:rPr>
        <w:t>4</w:t>
      </w:r>
      <w:r>
        <w:rPr>
          <w:rFonts w:hint="eastAsia" w:ascii="宋体" w:hAnsi="宋体"/>
          <w:b/>
          <w:sz w:val="24"/>
          <w:szCs w:val="24"/>
          <w:lang w:val="zh-CN"/>
        </w:rPr>
        <w:t>．住房保障支出</w:t>
      </w:r>
      <w:r>
        <w:rPr>
          <w:rFonts w:hint="eastAsia" w:ascii="宋体" w:hAnsi="宋体"/>
          <w:sz w:val="24"/>
          <w:szCs w:val="24"/>
          <w:lang w:val="zh-CN"/>
        </w:rPr>
        <w:t>年初预算数为17.63万元,支出决算为21.56万元,完成年初预算的122.3%,决算数大于预算数的主要原因是人员工资增长。</w:t>
      </w:r>
    </w:p>
    <w:p w14:paraId="14B23E13">
      <w:pPr>
        <w:spacing w:before="100" w:after="100"/>
        <w:ind w:firstLine="480" w:firstLineChars="200"/>
        <w:jc w:val="left"/>
        <w:rPr>
          <w:rFonts w:ascii="宋体" w:hAnsi="宋体"/>
          <w:sz w:val="24"/>
          <w:szCs w:val="24"/>
          <w:lang w:val="zh-CN"/>
        </w:rPr>
      </w:pPr>
      <w:r>
        <w:rPr>
          <w:rFonts w:hint="eastAsia" w:ascii="宋体" w:hAnsi="宋体"/>
          <w:sz w:val="24"/>
          <w:szCs w:val="24"/>
          <w:lang w:val="zh-CN"/>
        </w:rPr>
        <w:t>六、一般公共预算财政拨款基本支出决算情况说明</w:t>
      </w:r>
    </w:p>
    <w:p w14:paraId="1BB4F898">
      <w:pPr>
        <w:spacing w:before="100" w:after="100"/>
        <w:ind w:firstLine="480" w:firstLineChars="200"/>
        <w:jc w:val="left"/>
        <w:rPr>
          <w:rFonts w:ascii="宋体" w:hAnsi="宋体"/>
          <w:sz w:val="24"/>
          <w:szCs w:val="24"/>
          <w:lang w:val="zh-CN"/>
        </w:rPr>
      </w:pPr>
      <w:r>
        <w:rPr>
          <w:rFonts w:hint="eastAsia" w:ascii="宋体" w:hAnsi="宋体"/>
          <w:sz w:val="24"/>
          <w:szCs w:val="24"/>
          <w:lang w:val="zh-CN"/>
        </w:rPr>
        <w:t>2022年度一般公共预算财政拨款基本支出269.65万元。其中：</w:t>
      </w:r>
    </w:p>
    <w:p w14:paraId="691E4CBF">
      <w:pPr>
        <w:spacing w:before="100" w:beforeLines="0" w:after="100" w:afterLines="0"/>
        <w:ind w:firstLine="482" w:firstLineChars="200"/>
        <w:jc w:val="left"/>
        <w:rPr>
          <w:rFonts w:hint="eastAsia" w:ascii="Times New Roman" w:hAnsi="Times New Roman" w:eastAsia="宋体" w:cs="Arial"/>
          <w:b w:val="0"/>
          <w:bCs/>
          <w:color w:val="auto"/>
          <w:sz w:val="24"/>
          <w:szCs w:val="24"/>
          <w:lang w:val="zh-CN" w:eastAsia="zh-CN"/>
        </w:rPr>
      </w:pPr>
      <w:r>
        <w:rPr>
          <w:rFonts w:hint="eastAsia" w:ascii="宋体" w:hAnsi="宋体"/>
          <w:b/>
          <w:sz w:val="24"/>
          <w:szCs w:val="24"/>
          <w:lang w:val="zh-CN"/>
        </w:rPr>
        <w:t>人员经费</w:t>
      </w:r>
      <w:r>
        <w:rPr>
          <w:rFonts w:hint="eastAsia" w:ascii="宋体" w:hAnsi="宋体"/>
          <w:sz w:val="24"/>
          <w:szCs w:val="24"/>
          <w:lang w:val="zh-CN"/>
        </w:rPr>
        <w:t>261.42万元,较上年决算数增加1.77万元,增长0.68%，</w:t>
      </w:r>
      <w:r>
        <w:rPr>
          <w:rFonts w:hint="eastAsia" w:ascii="宋体" w:hAnsi="宋体"/>
          <w:sz w:val="24"/>
          <w:szCs w:val="24"/>
          <w:lang w:val="en-US" w:eastAsia="zh-CN"/>
        </w:rPr>
        <w:t>增长的</w:t>
      </w:r>
      <w:r>
        <w:rPr>
          <w:rFonts w:hint="eastAsia" w:ascii="宋体" w:hAnsi="宋体"/>
          <w:sz w:val="24"/>
          <w:szCs w:val="24"/>
          <w:lang w:val="zh-CN"/>
        </w:rPr>
        <w:t>主要原因是人员工资增长。人员经费用途主要</w:t>
      </w:r>
      <w:r>
        <w:rPr>
          <w:rFonts w:hint="eastAsia" w:ascii="Times New Roman" w:hAnsi="Times New Roman" w:eastAsia="宋体" w:cs="Arial"/>
          <w:b w:val="0"/>
          <w:bCs/>
          <w:color w:val="auto"/>
          <w:sz w:val="24"/>
          <w:szCs w:val="24"/>
          <w:lang w:val="zh-CN" w:eastAsia="zh-CN"/>
        </w:rPr>
        <w:t>主要包括基本工资</w:t>
      </w:r>
      <w:r>
        <w:rPr>
          <w:rFonts w:hint="eastAsia" w:ascii="Times New Roman" w:hAnsi="Times New Roman" w:eastAsia="宋体" w:cs="Arial"/>
          <w:b w:val="0"/>
          <w:bCs/>
          <w:color w:val="auto"/>
          <w:sz w:val="24"/>
          <w:szCs w:val="24"/>
          <w:lang w:val="en-US" w:eastAsia="zh-CN"/>
        </w:rPr>
        <w:t>76.78</w:t>
      </w:r>
      <w:r>
        <w:rPr>
          <w:rFonts w:hint="eastAsia" w:ascii="Times New Roman" w:hAnsi="Times New Roman" w:eastAsia="宋体" w:cs="Arial"/>
          <w:b w:val="0"/>
          <w:bCs/>
          <w:color w:val="auto"/>
          <w:sz w:val="24"/>
          <w:szCs w:val="24"/>
          <w:lang w:val="zh-CN" w:eastAsia="zh-CN"/>
        </w:rPr>
        <w:t>万元、津贴补贴</w:t>
      </w:r>
      <w:r>
        <w:rPr>
          <w:rFonts w:hint="eastAsia" w:ascii="Times New Roman" w:hAnsi="Times New Roman" w:eastAsia="宋体" w:cs="Arial"/>
          <w:b w:val="0"/>
          <w:bCs/>
          <w:color w:val="auto"/>
          <w:sz w:val="24"/>
          <w:szCs w:val="24"/>
          <w:lang w:val="en-US" w:eastAsia="zh-CN"/>
        </w:rPr>
        <w:t>4.06</w:t>
      </w:r>
      <w:r>
        <w:rPr>
          <w:rFonts w:hint="eastAsia" w:ascii="Times New Roman" w:hAnsi="Times New Roman" w:eastAsia="宋体" w:cs="Arial"/>
          <w:b w:val="0"/>
          <w:bCs/>
          <w:color w:val="auto"/>
          <w:sz w:val="24"/>
          <w:szCs w:val="24"/>
          <w:lang w:val="zh-CN" w:eastAsia="zh-CN"/>
        </w:rPr>
        <w:t>万元、</w:t>
      </w:r>
      <w:r>
        <w:rPr>
          <w:rFonts w:hint="eastAsia" w:ascii="Times New Roman" w:hAnsi="Times New Roman" w:cs="Arial"/>
          <w:b w:val="0"/>
          <w:bCs/>
          <w:color w:val="auto"/>
          <w:sz w:val="24"/>
          <w:szCs w:val="24"/>
          <w:lang w:val="en-US" w:eastAsia="zh-CN"/>
        </w:rPr>
        <w:t>奖金46.03</w:t>
      </w:r>
      <w:r>
        <w:rPr>
          <w:rFonts w:hint="eastAsia" w:ascii="Times New Roman" w:hAnsi="Times New Roman" w:eastAsia="宋体" w:cs="Arial"/>
          <w:b w:val="0"/>
          <w:bCs/>
          <w:color w:val="auto"/>
          <w:sz w:val="24"/>
          <w:szCs w:val="24"/>
          <w:lang w:val="zh-CN" w:eastAsia="zh-CN"/>
        </w:rPr>
        <w:t>万元</w:t>
      </w:r>
      <w:r>
        <w:rPr>
          <w:rFonts w:hint="eastAsia" w:ascii="Times New Roman" w:hAnsi="Times New Roman" w:cs="Arial"/>
          <w:b w:val="0"/>
          <w:bCs/>
          <w:color w:val="auto"/>
          <w:sz w:val="24"/>
          <w:szCs w:val="24"/>
          <w:lang w:val="zh-CN" w:eastAsia="zh-CN"/>
        </w:rPr>
        <w:t>、</w:t>
      </w:r>
      <w:r>
        <w:rPr>
          <w:rFonts w:hint="eastAsia" w:ascii="Times New Roman" w:hAnsi="Times New Roman" w:eastAsia="宋体" w:cs="Arial"/>
          <w:b w:val="0"/>
          <w:bCs/>
          <w:color w:val="auto"/>
          <w:sz w:val="24"/>
          <w:szCs w:val="24"/>
          <w:lang w:val="zh-CN" w:eastAsia="zh-CN"/>
        </w:rPr>
        <w:t>绩效工资</w:t>
      </w:r>
      <w:r>
        <w:rPr>
          <w:rFonts w:hint="eastAsia" w:ascii="Times New Roman" w:hAnsi="Times New Roman" w:eastAsia="宋体" w:cs="Arial"/>
          <w:b w:val="0"/>
          <w:bCs/>
          <w:color w:val="auto"/>
          <w:sz w:val="24"/>
          <w:szCs w:val="24"/>
          <w:lang w:val="en-US" w:eastAsia="zh-CN"/>
        </w:rPr>
        <w:t>42.02</w:t>
      </w:r>
      <w:r>
        <w:rPr>
          <w:rFonts w:hint="eastAsia" w:ascii="Times New Roman" w:hAnsi="Times New Roman" w:eastAsia="宋体" w:cs="Arial"/>
          <w:b w:val="0"/>
          <w:bCs/>
          <w:color w:val="auto"/>
          <w:sz w:val="24"/>
          <w:szCs w:val="24"/>
          <w:lang w:val="zh-CN" w:eastAsia="zh-CN"/>
        </w:rPr>
        <w:t>万元、机关事业单位基本养老保险缴费</w:t>
      </w:r>
      <w:r>
        <w:rPr>
          <w:rFonts w:hint="eastAsia" w:ascii="Times New Roman" w:hAnsi="Times New Roman" w:eastAsia="宋体" w:cs="Arial"/>
          <w:b w:val="0"/>
          <w:bCs/>
          <w:color w:val="auto"/>
          <w:sz w:val="24"/>
          <w:szCs w:val="24"/>
          <w:lang w:val="en-US" w:eastAsia="zh-CN"/>
        </w:rPr>
        <w:t>16.55</w:t>
      </w:r>
      <w:r>
        <w:rPr>
          <w:rFonts w:hint="eastAsia" w:ascii="Times New Roman" w:hAnsi="Times New Roman" w:eastAsia="宋体" w:cs="Arial"/>
          <w:b w:val="0"/>
          <w:bCs/>
          <w:color w:val="auto"/>
          <w:sz w:val="24"/>
          <w:szCs w:val="24"/>
          <w:lang w:val="zh-CN" w:eastAsia="zh-CN"/>
        </w:rPr>
        <w:t>万元</w:t>
      </w:r>
      <w:r>
        <w:rPr>
          <w:rFonts w:hint="eastAsia" w:ascii="Times New Roman" w:hAnsi="Times New Roman" w:cs="Arial"/>
          <w:b w:val="0"/>
          <w:bCs/>
          <w:color w:val="auto"/>
          <w:sz w:val="24"/>
          <w:szCs w:val="24"/>
          <w:lang w:val="zh-CN" w:eastAsia="zh-CN"/>
        </w:rPr>
        <w:t>、职工基本医疗保险缴费</w:t>
      </w:r>
      <w:r>
        <w:rPr>
          <w:rFonts w:hint="eastAsia" w:ascii="Times New Roman" w:hAnsi="Times New Roman" w:cs="Arial"/>
          <w:b w:val="0"/>
          <w:bCs/>
          <w:color w:val="auto"/>
          <w:sz w:val="24"/>
          <w:szCs w:val="24"/>
          <w:lang w:val="en-US" w:eastAsia="zh-CN"/>
        </w:rPr>
        <w:t>8.89</w:t>
      </w:r>
      <w:r>
        <w:rPr>
          <w:rFonts w:hint="eastAsia" w:ascii="Times New Roman" w:hAnsi="Times New Roman" w:eastAsia="宋体" w:cs="Arial"/>
          <w:b w:val="0"/>
          <w:bCs/>
          <w:color w:val="auto"/>
          <w:sz w:val="24"/>
          <w:szCs w:val="24"/>
          <w:lang w:val="zh-CN" w:eastAsia="zh-CN"/>
        </w:rPr>
        <w:t>万元</w:t>
      </w:r>
      <w:r>
        <w:rPr>
          <w:rFonts w:hint="eastAsia" w:ascii="Times New Roman" w:hAnsi="Times New Roman" w:cs="Arial"/>
          <w:b w:val="0"/>
          <w:bCs/>
          <w:color w:val="auto"/>
          <w:sz w:val="24"/>
          <w:szCs w:val="24"/>
          <w:lang w:val="zh-CN" w:eastAsia="zh-CN"/>
        </w:rPr>
        <w:t>、公务员医疗补助缴费</w:t>
      </w:r>
      <w:r>
        <w:rPr>
          <w:rFonts w:hint="eastAsia" w:ascii="Times New Roman" w:hAnsi="Times New Roman" w:cs="Arial"/>
          <w:b w:val="0"/>
          <w:bCs/>
          <w:color w:val="auto"/>
          <w:sz w:val="24"/>
          <w:szCs w:val="24"/>
          <w:lang w:val="en-US" w:eastAsia="zh-CN"/>
        </w:rPr>
        <w:t>12.48</w:t>
      </w:r>
      <w:r>
        <w:rPr>
          <w:rFonts w:hint="eastAsia" w:ascii="Times New Roman" w:hAnsi="Times New Roman" w:eastAsia="宋体" w:cs="Arial"/>
          <w:b w:val="0"/>
          <w:bCs/>
          <w:color w:val="auto"/>
          <w:sz w:val="24"/>
          <w:szCs w:val="24"/>
          <w:lang w:val="zh-CN" w:eastAsia="zh-CN"/>
        </w:rPr>
        <w:t>万元</w:t>
      </w:r>
      <w:r>
        <w:rPr>
          <w:rFonts w:hint="eastAsia" w:ascii="Times New Roman" w:hAnsi="Times New Roman" w:cs="Arial"/>
          <w:b w:val="0"/>
          <w:bCs/>
          <w:color w:val="auto"/>
          <w:sz w:val="24"/>
          <w:szCs w:val="24"/>
          <w:lang w:val="zh-CN" w:eastAsia="zh-CN"/>
        </w:rPr>
        <w:t>、其他社会保障缴费</w:t>
      </w:r>
      <w:r>
        <w:rPr>
          <w:rFonts w:hint="eastAsia" w:ascii="Times New Roman" w:hAnsi="Times New Roman" w:cs="Arial"/>
          <w:b w:val="0"/>
          <w:bCs/>
          <w:color w:val="auto"/>
          <w:sz w:val="24"/>
          <w:szCs w:val="24"/>
          <w:lang w:val="en-US" w:eastAsia="zh-CN"/>
        </w:rPr>
        <w:t>0.42</w:t>
      </w:r>
      <w:r>
        <w:rPr>
          <w:rFonts w:hint="eastAsia" w:ascii="Times New Roman" w:hAnsi="Times New Roman" w:eastAsia="宋体" w:cs="Arial"/>
          <w:b w:val="0"/>
          <w:bCs/>
          <w:color w:val="auto"/>
          <w:sz w:val="24"/>
          <w:szCs w:val="24"/>
          <w:lang w:val="zh-CN" w:eastAsia="zh-CN"/>
        </w:rPr>
        <w:t>万元</w:t>
      </w:r>
      <w:r>
        <w:rPr>
          <w:rFonts w:hint="eastAsia" w:ascii="Times New Roman" w:hAnsi="Times New Roman" w:cs="Arial"/>
          <w:b w:val="0"/>
          <w:bCs/>
          <w:color w:val="auto"/>
          <w:sz w:val="24"/>
          <w:szCs w:val="24"/>
          <w:lang w:val="zh-CN" w:eastAsia="zh-CN"/>
        </w:rPr>
        <w:t>、住房公积金</w:t>
      </w:r>
      <w:r>
        <w:rPr>
          <w:rFonts w:hint="eastAsia" w:ascii="Times New Roman" w:hAnsi="Times New Roman" w:cs="Arial"/>
          <w:b w:val="0"/>
          <w:bCs/>
          <w:color w:val="auto"/>
          <w:sz w:val="24"/>
          <w:szCs w:val="24"/>
          <w:lang w:val="en-US" w:eastAsia="zh-CN"/>
        </w:rPr>
        <w:t>21.56</w:t>
      </w:r>
      <w:r>
        <w:rPr>
          <w:rFonts w:hint="eastAsia" w:ascii="Times New Roman" w:hAnsi="Times New Roman" w:eastAsia="宋体" w:cs="Arial"/>
          <w:b w:val="0"/>
          <w:bCs/>
          <w:color w:val="auto"/>
          <w:sz w:val="24"/>
          <w:szCs w:val="24"/>
          <w:lang w:val="zh-CN" w:eastAsia="zh-CN"/>
        </w:rPr>
        <w:t>万元</w:t>
      </w:r>
      <w:r>
        <w:rPr>
          <w:rFonts w:hint="eastAsia" w:ascii="Times New Roman" w:hAnsi="Times New Roman" w:cs="Arial"/>
          <w:b w:val="0"/>
          <w:bCs/>
          <w:color w:val="auto"/>
          <w:sz w:val="24"/>
          <w:szCs w:val="24"/>
          <w:lang w:val="zh-CN" w:eastAsia="zh-CN"/>
        </w:rPr>
        <w:t>、</w:t>
      </w:r>
      <w:r>
        <w:rPr>
          <w:rFonts w:hint="eastAsia" w:ascii="Times New Roman" w:hAnsi="Times New Roman" w:cs="Arial"/>
          <w:b w:val="0"/>
          <w:bCs/>
          <w:color w:val="auto"/>
          <w:sz w:val="24"/>
          <w:szCs w:val="24"/>
          <w:lang w:val="en-US" w:eastAsia="zh-CN"/>
        </w:rPr>
        <w:t>退休费10.92</w:t>
      </w:r>
      <w:r>
        <w:rPr>
          <w:rFonts w:hint="eastAsia" w:ascii="Times New Roman" w:hAnsi="Times New Roman" w:eastAsia="宋体" w:cs="Arial"/>
          <w:b w:val="0"/>
          <w:bCs/>
          <w:color w:val="auto"/>
          <w:sz w:val="24"/>
          <w:szCs w:val="24"/>
          <w:lang w:val="zh-CN" w:eastAsia="zh-CN"/>
        </w:rPr>
        <w:t>万元</w:t>
      </w:r>
      <w:r>
        <w:rPr>
          <w:rFonts w:hint="eastAsia" w:ascii="Times New Roman" w:hAnsi="Times New Roman" w:cs="Arial"/>
          <w:b w:val="0"/>
          <w:bCs/>
          <w:color w:val="auto"/>
          <w:sz w:val="24"/>
          <w:szCs w:val="24"/>
          <w:lang w:val="en-US" w:eastAsia="zh-CN"/>
        </w:rPr>
        <w:t>、生活补助21.71</w:t>
      </w:r>
      <w:r>
        <w:rPr>
          <w:rFonts w:hint="eastAsia" w:ascii="Times New Roman" w:hAnsi="Times New Roman" w:eastAsia="宋体" w:cs="Arial"/>
          <w:b w:val="0"/>
          <w:bCs/>
          <w:color w:val="auto"/>
          <w:sz w:val="24"/>
          <w:szCs w:val="24"/>
          <w:lang w:val="zh-CN" w:eastAsia="zh-CN"/>
        </w:rPr>
        <w:t>万元。</w:t>
      </w:r>
    </w:p>
    <w:p w14:paraId="0DBFB0B4">
      <w:pPr>
        <w:spacing w:before="100" w:after="100"/>
        <w:ind w:firstLine="482" w:firstLineChars="200"/>
        <w:jc w:val="left"/>
        <w:rPr>
          <w:rFonts w:ascii="宋体" w:hAnsi="宋体"/>
          <w:sz w:val="24"/>
          <w:szCs w:val="24"/>
          <w:lang w:val="zh-CN"/>
        </w:rPr>
      </w:pPr>
      <w:r>
        <w:rPr>
          <w:rFonts w:hint="eastAsia" w:ascii="宋体" w:hAnsi="宋体"/>
          <w:b/>
          <w:sz w:val="24"/>
          <w:szCs w:val="24"/>
          <w:lang w:val="zh-CN"/>
        </w:rPr>
        <w:t>公用经费</w:t>
      </w:r>
      <w:r>
        <w:rPr>
          <w:rFonts w:hint="eastAsia" w:ascii="宋体" w:hAnsi="宋体"/>
          <w:sz w:val="24"/>
          <w:szCs w:val="24"/>
          <w:lang w:val="zh-CN"/>
        </w:rPr>
        <w:t>8.24万元,较上年决算数减少9.92万元,下降54.65%,</w:t>
      </w:r>
      <w:r>
        <w:rPr>
          <w:rFonts w:hint="eastAsia" w:ascii="宋体" w:hAnsi="宋体"/>
          <w:sz w:val="24"/>
          <w:szCs w:val="24"/>
          <w:lang w:val="en-US" w:eastAsia="zh-CN"/>
        </w:rPr>
        <w:t>下降的主要原因是</w:t>
      </w:r>
      <w:r>
        <w:rPr>
          <w:rFonts w:hint="eastAsia" w:ascii="宋体" w:hAnsi="宋体"/>
          <w:sz w:val="24"/>
          <w:szCs w:val="24"/>
          <w:lang w:val="zh-CN"/>
        </w:rPr>
        <w:t>人员减少。</w:t>
      </w:r>
      <w:r>
        <w:rPr>
          <w:rFonts w:hint="eastAsia" w:ascii="宋体" w:hAnsi="宋体"/>
          <w:color w:val="auto"/>
          <w:sz w:val="24"/>
          <w:szCs w:val="24"/>
          <w:lang w:val="zh-CN"/>
        </w:rPr>
        <w:t>公用经费用途主要包括</w:t>
      </w:r>
      <w:r>
        <w:rPr>
          <w:rFonts w:hint="eastAsia" w:ascii="宋体" w:hAnsi="宋体" w:eastAsia="宋体" w:cs="宋体"/>
          <w:i w:val="0"/>
          <w:iCs w:val="0"/>
          <w:caps w:val="0"/>
          <w:color w:val="auto"/>
          <w:spacing w:val="0"/>
          <w:sz w:val="24"/>
          <w:szCs w:val="24"/>
          <w:shd w:val="clear" w:color="auto" w:fill="FFFFFF"/>
        </w:rPr>
        <w:t>办公费2.9</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color w:val="auto"/>
          <w:sz w:val="24"/>
          <w:szCs w:val="24"/>
          <w:lang w:val="zh-CN"/>
        </w:rPr>
        <w:t>万元</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咨询费0.28万元</w:t>
      </w:r>
      <w:r>
        <w:rPr>
          <w:rFonts w:hint="eastAsia" w:ascii="宋体" w:hAnsi="宋体" w:eastAsia="宋体" w:cs="宋体"/>
          <w:i w:val="0"/>
          <w:iCs w:val="0"/>
          <w:caps w:val="0"/>
          <w:color w:val="auto"/>
          <w:spacing w:val="0"/>
          <w:sz w:val="24"/>
          <w:szCs w:val="24"/>
          <w:shd w:val="clear" w:color="auto" w:fill="FFFFFF"/>
        </w:rPr>
        <w:t>、差旅费</w:t>
      </w:r>
      <w:r>
        <w:rPr>
          <w:rFonts w:hint="eastAsia" w:ascii="宋体" w:hAnsi="宋体" w:eastAsia="宋体" w:cs="宋体"/>
          <w:i w:val="0"/>
          <w:iCs w:val="0"/>
          <w:caps w:val="0"/>
          <w:color w:val="auto"/>
          <w:spacing w:val="0"/>
          <w:sz w:val="24"/>
          <w:szCs w:val="24"/>
          <w:shd w:val="clear" w:color="auto" w:fill="FFFFFF"/>
          <w:lang w:val="en-US" w:eastAsia="zh-CN"/>
        </w:rPr>
        <w:t>2.73</w:t>
      </w:r>
      <w:r>
        <w:rPr>
          <w:rFonts w:hint="eastAsia" w:ascii="宋体" w:hAnsi="宋体"/>
          <w:color w:val="auto"/>
          <w:sz w:val="24"/>
          <w:szCs w:val="24"/>
          <w:lang w:val="zh-CN"/>
        </w:rPr>
        <w:t>万元</w:t>
      </w:r>
      <w:r>
        <w:rPr>
          <w:rFonts w:hint="eastAsia" w:ascii="宋体" w:hAnsi="宋体" w:eastAsia="宋体" w:cs="宋体"/>
          <w:i w:val="0"/>
          <w:iCs w:val="0"/>
          <w:caps w:val="0"/>
          <w:color w:val="auto"/>
          <w:spacing w:val="0"/>
          <w:sz w:val="24"/>
          <w:szCs w:val="24"/>
          <w:shd w:val="clear" w:color="auto" w:fill="FFFFFF"/>
        </w:rPr>
        <w:t>、维修（护）费0.</w:t>
      </w:r>
      <w:r>
        <w:rPr>
          <w:rFonts w:hint="eastAsia" w:ascii="宋体" w:hAnsi="宋体" w:eastAsia="宋体" w:cs="宋体"/>
          <w:i w:val="0"/>
          <w:iCs w:val="0"/>
          <w:caps w:val="0"/>
          <w:color w:val="auto"/>
          <w:spacing w:val="0"/>
          <w:sz w:val="24"/>
          <w:szCs w:val="24"/>
          <w:shd w:val="clear" w:color="auto" w:fill="FFFFFF"/>
          <w:lang w:val="en-US" w:eastAsia="zh-CN"/>
        </w:rPr>
        <w:t>83</w:t>
      </w:r>
      <w:r>
        <w:rPr>
          <w:rFonts w:hint="eastAsia" w:ascii="宋体" w:hAnsi="宋体"/>
          <w:color w:val="auto"/>
          <w:sz w:val="24"/>
          <w:szCs w:val="24"/>
          <w:lang w:val="zh-CN"/>
        </w:rPr>
        <w:t>万元</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委托业务费1.44万元</w:t>
      </w:r>
      <w:r>
        <w:rPr>
          <w:rFonts w:hint="eastAsia" w:ascii="宋体" w:hAnsi="宋体" w:eastAsia="宋体" w:cs="宋体"/>
          <w:i w:val="0"/>
          <w:iCs w:val="0"/>
          <w:caps w:val="0"/>
          <w:color w:val="auto"/>
          <w:spacing w:val="0"/>
          <w:sz w:val="24"/>
          <w:szCs w:val="24"/>
          <w:shd w:val="clear" w:color="auto" w:fill="FFFFFF"/>
        </w:rPr>
        <w:t>。</w:t>
      </w:r>
    </w:p>
    <w:p w14:paraId="75B82047">
      <w:pPr>
        <w:spacing w:before="100" w:after="100"/>
        <w:ind w:firstLine="480" w:firstLineChars="200"/>
        <w:jc w:val="left"/>
        <w:rPr>
          <w:rFonts w:ascii="宋体" w:hAnsi="宋体"/>
          <w:sz w:val="24"/>
          <w:szCs w:val="24"/>
          <w:lang w:val="zh-CN"/>
        </w:rPr>
      </w:pPr>
      <w:r>
        <w:rPr>
          <w:rFonts w:hint="eastAsia" w:ascii="宋体" w:hAnsi="宋体"/>
          <w:sz w:val="24"/>
          <w:szCs w:val="24"/>
        </w:rPr>
        <w:t>七</w:t>
      </w:r>
      <w:r>
        <w:rPr>
          <w:rFonts w:hint="eastAsia" w:ascii="宋体" w:hAnsi="宋体"/>
          <w:sz w:val="24"/>
          <w:szCs w:val="24"/>
          <w:lang w:val="zh-CN"/>
        </w:rPr>
        <w:t>、机关运行经费支出情况说明</w:t>
      </w:r>
    </w:p>
    <w:p w14:paraId="40157E18">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cs="Times New Roman"/>
          <w:sz w:val="24"/>
          <w:szCs w:val="24"/>
          <w:lang w:val="zh-CN"/>
        </w:rPr>
      </w:pPr>
      <w:r>
        <w:rPr>
          <w:rFonts w:hint="eastAsia" w:ascii="Times New Roman" w:hAnsi="Times New Roman" w:cs="Times New Roman"/>
          <w:sz w:val="24"/>
          <w:szCs w:val="24"/>
          <w:lang w:val="zh-CN"/>
        </w:rPr>
        <w:t>我单位202</w:t>
      </w: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lang w:val="zh-CN"/>
        </w:rPr>
        <w:t>年度无机关运行相关经费。</w:t>
      </w:r>
    </w:p>
    <w:p w14:paraId="7C7AACB8">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cs="Times New Roman"/>
          <w:color w:val="FF0000"/>
          <w:sz w:val="24"/>
          <w:szCs w:val="24"/>
          <w:highlight w:val="yellow"/>
          <w:lang w:val="zh-CN"/>
        </w:rPr>
      </w:pPr>
      <w:r>
        <w:rPr>
          <w:rFonts w:hint="eastAsia" w:ascii="Times New Roman" w:hAnsi="Times New Roman" w:cs="Times New Roman"/>
          <w:sz w:val="24"/>
          <w:szCs w:val="24"/>
          <w:lang w:val="zh-CN"/>
        </w:rPr>
        <w:t>202</w:t>
      </w: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lang w:val="zh-CN"/>
        </w:rPr>
        <w:t>年度本部门机关运行经费支出0.00万元,机关运行经费较上年决算数减少0.0万元,下降0%，</w:t>
      </w:r>
      <w:r>
        <w:rPr>
          <w:rFonts w:hint="eastAsia" w:ascii="Times New Roman" w:hAnsi="Times New Roman" w:cs="Times New Roman"/>
          <w:sz w:val="24"/>
          <w:szCs w:val="24"/>
          <w:lang w:val="en-US" w:eastAsia="zh-CN"/>
        </w:rPr>
        <w:t>与上年持平，持平的主要原因是</w:t>
      </w:r>
      <w:r>
        <w:rPr>
          <w:rFonts w:hint="eastAsia" w:ascii="Times New Roman" w:hAnsi="Times New Roman" w:cs="Times New Roman"/>
          <w:sz w:val="24"/>
          <w:szCs w:val="24"/>
          <w:lang w:val="zh-CN"/>
        </w:rPr>
        <w:t>本单位为事业单位，故无机关运行经费。</w:t>
      </w:r>
    </w:p>
    <w:p w14:paraId="052ECDC2">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color w:val="auto"/>
          <w:sz w:val="24"/>
          <w:szCs w:val="24"/>
          <w:lang w:val="zh-CN"/>
        </w:rPr>
      </w:pPr>
      <w:r>
        <w:rPr>
          <w:rFonts w:hint="eastAsia" w:ascii="Times New Roman" w:hAnsi="Times New Roman" w:cs="Times New Roman"/>
          <w:sz w:val="24"/>
          <w:szCs w:val="24"/>
          <w:lang w:val="zh-CN"/>
        </w:rPr>
        <w:t>本年度会议费支出0.0</w:t>
      </w:r>
      <w:r>
        <w:rPr>
          <w:rFonts w:hint="eastAsia" w:ascii="宋体" w:hAnsi="宋体"/>
          <w:color w:val="auto"/>
          <w:sz w:val="24"/>
          <w:szCs w:val="24"/>
          <w:lang w:val="zh-CN"/>
        </w:rPr>
        <w:t>0万元,较上年决算数减少0.0万元,</w:t>
      </w:r>
      <w:r>
        <w:rPr>
          <w:rFonts w:hint="eastAsia" w:ascii="Times New Roman" w:hAnsi="Times New Roman" w:cs="Times New Roman"/>
          <w:sz w:val="24"/>
          <w:szCs w:val="24"/>
          <w:lang w:val="zh-CN"/>
        </w:rPr>
        <w:t>下降0%，</w:t>
      </w:r>
      <w:r>
        <w:rPr>
          <w:rFonts w:hint="eastAsia" w:ascii="宋体" w:hAnsi="宋体"/>
          <w:color w:val="auto"/>
          <w:sz w:val="24"/>
          <w:szCs w:val="24"/>
          <w:lang w:val="zh-CN"/>
        </w:rPr>
        <w:t>与上年持平,持平的主要原因是</w:t>
      </w:r>
      <w:r>
        <w:rPr>
          <w:rFonts w:hint="eastAsia" w:ascii="宋体" w:hAnsi="宋体"/>
          <w:color w:val="auto"/>
          <w:sz w:val="24"/>
          <w:szCs w:val="24"/>
          <w:lang w:val="en-US" w:eastAsia="zh-CN"/>
        </w:rPr>
        <w:t>落实过紧日子要求，厉行节约</w:t>
      </w:r>
      <w:r>
        <w:rPr>
          <w:rFonts w:hint="eastAsia" w:ascii="宋体" w:hAnsi="宋体"/>
          <w:color w:val="auto"/>
          <w:sz w:val="24"/>
          <w:szCs w:val="24"/>
          <w:lang w:val="zh-CN"/>
        </w:rPr>
        <w:t>。</w:t>
      </w:r>
    </w:p>
    <w:p w14:paraId="0F21BFD1">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color w:val="auto"/>
          <w:sz w:val="24"/>
          <w:szCs w:val="24"/>
          <w:lang w:val="zh-CN"/>
        </w:rPr>
      </w:pPr>
      <w:r>
        <w:rPr>
          <w:rFonts w:hint="eastAsia" w:ascii="Times New Roman" w:hAnsi="Times New Roman" w:cs="Times New Roman"/>
          <w:sz w:val="24"/>
          <w:szCs w:val="24"/>
          <w:lang w:val="zh-CN"/>
        </w:rPr>
        <w:t>本年度</w:t>
      </w:r>
      <w:r>
        <w:rPr>
          <w:rFonts w:hint="eastAsia" w:ascii="Times New Roman" w:hAnsi="Times New Roman" w:cs="Times New Roman"/>
          <w:sz w:val="24"/>
          <w:szCs w:val="24"/>
          <w:lang w:val="en-US" w:eastAsia="zh-CN"/>
        </w:rPr>
        <w:t>培训费</w:t>
      </w:r>
      <w:r>
        <w:rPr>
          <w:rFonts w:hint="eastAsia" w:ascii="Times New Roman" w:hAnsi="Times New Roman" w:cs="Times New Roman"/>
          <w:sz w:val="24"/>
          <w:szCs w:val="24"/>
          <w:lang w:val="zh-CN"/>
        </w:rPr>
        <w:t>支出0.0</w:t>
      </w:r>
      <w:r>
        <w:rPr>
          <w:rFonts w:hint="eastAsia" w:ascii="宋体" w:hAnsi="宋体"/>
          <w:color w:val="auto"/>
          <w:sz w:val="24"/>
          <w:szCs w:val="24"/>
          <w:lang w:val="zh-CN"/>
        </w:rPr>
        <w:t>0万元,较上年决算数减少0.0万元,</w:t>
      </w:r>
      <w:r>
        <w:rPr>
          <w:rFonts w:hint="eastAsia" w:ascii="Times New Roman" w:hAnsi="Times New Roman" w:cs="Times New Roman"/>
          <w:sz w:val="24"/>
          <w:szCs w:val="24"/>
          <w:lang w:val="zh-CN"/>
        </w:rPr>
        <w:t>下降0%，</w:t>
      </w:r>
      <w:r>
        <w:rPr>
          <w:rFonts w:hint="eastAsia" w:ascii="宋体" w:hAnsi="宋体"/>
          <w:color w:val="auto"/>
          <w:sz w:val="24"/>
          <w:szCs w:val="24"/>
          <w:lang w:val="zh-CN"/>
        </w:rPr>
        <w:t>与上年持平,持平的主要原因是</w:t>
      </w:r>
      <w:r>
        <w:rPr>
          <w:rFonts w:hint="eastAsia" w:ascii="宋体" w:hAnsi="宋体"/>
          <w:color w:val="auto"/>
          <w:sz w:val="24"/>
          <w:szCs w:val="24"/>
          <w:lang w:val="en-US" w:eastAsia="zh-CN"/>
        </w:rPr>
        <w:t>落实过紧日子要求，厉行节约</w:t>
      </w:r>
      <w:r>
        <w:rPr>
          <w:rFonts w:hint="eastAsia" w:ascii="宋体" w:hAnsi="宋体"/>
          <w:color w:val="auto"/>
          <w:sz w:val="24"/>
          <w:szCs w:val="24"/>
          <w:lang w:val="zh-CN"/>
        </w:rPr>
        <w:t>。</w:t>
      </w:r>
    </w:p>
    <w:p w14:paraId="40971788">
      <w:pPr>
        <w:spacing w:before="100" w:after="100"/>
        <w:ind w:firstLine="480" w:firstLineChars="200"/>
        <w:jc w:val="left"/>
        <w:rPr>
          <w:rFonts w:ascii="宋体" w:hAnsi="宋体"/>
          <w:sz w:val="24"/>
          <w:szCs w:val="24"/>
          <w:lang w:val="zh-CN"/>
        </w:rPr>
      </w:pPr>
      <w:r>
        <w:rPr>
          <w:rFonts w:hint="eastAsia" w:ascii="宋体" w:hAnsi="宋体"/>
          <w:sz w:val="24"/>
          <w:szCs w:val="24"/>
        </w:rPr>
        <w:t>八</w:t>
      </w:r>
      <w:r>
        <w:rPr>
          <w:rFonts w:hint="eastAsia" w:ascii="宋体" w:hAnsi="宋体"/>
          <w:sz w:val="24"/>
          <w:szCs w:val="24"/>
          <w:lang w:val="zh-CN"/>
        </w:rPr>
        <w:t>、政府采购支出情况说明</w:t>
      </w:r>
    </w:p>
    <w:p w14:paraId="51DAD10F">
      <w:pPr>
        <w:spacing w:before="100" w:after="100"/>
        <w:ind w:firstLine="480" w:firstLineChars="200"/>
        <w:jc w:val="left"/>
        <w:rPr>
          <w:rFonts w:hint="default" w:ascii="宋体" w:hAnsi="宋体" w:eastAsia="宋体"/>
          <w:sz w:val="24"/>
          <w:szCs w:val="24"/>
          <w:lang w:val="en-US" w:eastAsia="zh-CN"/>
        </w:rPr>
      </w:pPr>
      <w:r>
        <w:rPr>
          <w:rFonts w:hint="eastAsia" w:ascii="宋体" w:hAnsi="宋体"/>
          <w:sz w:val="24"/>
          <w:szCs w:val="24"/>
          <w:lang w:val="zh-CN"/>
        </w:rPr>
        <w:t>我单位2022年度无政府采购相关经费，</w:t>
      </w:r>
      <w:r>
        <w:rPr>
          <w:rFonts w:hint="eastAsia" w:ascii="宋体" w:hAnsi="宋体"/>
          <w:sz w:val="24"/>
          <w:szCs w:val="24"/>
          <w:lang w:val="en-US" w:eastAsia="zh-CN"/>
        </w:rPr>
        <w:t>也没有使用政府采购预算安排的支出。</w:t>
      </w:r>
    </w:p>
    <w:p w14:paraId="1208E7ED">
      <w:pPr>
        <w:spacing w:before="100" w:after="100"/>
        <w:ind w:firstLine="480" w:firstLineChars="200"/>
        <w:jc w:val="left"/>
        <w:rPr>
          <w:rFonts w:ascii="宋体" w:hAnsi="宋体"/>
          <w:sz w:val="24"/>
          <w:szCs w:val="24"/>
          <w:lang w:val="zh-CN"/>
        </w:rPr>
      </w:pPr>
      <w:r>
        <w:rPr>
          <w:rFonts w:hint="eastAsia" w:ascii="宋体" w:hAnsi="宋体"/>
          <w:sz w:val="24"/>
          <w:szCs w:val="24"/>
        </w:rPr>
        <w:t>九</w:t>
      </w:r>
      <w:r>
        <w:rPr>
          <w:rFonts w:hint="eastAsia" w:ascii="宋体" w:hAnsi="宋体"/>
          <w:sz w:val="24"/>
          <w:szCs w:val="24"/>
          <w:lang w:val="zh-CN"/>
        </w:rPr>
        <w:t>、国有资产占用情况说明</w:t>
      </w:r>
    </w:p>
    <w:p w14:paraId="23F068E8">
      <w:pPr>
        <w:spacing w:before="100" w:after="100"/>
        <w:ind w:firstLine="480" w:firstLineChars="200"/>
        <w:jc w:val="left"/>
        <w:rPr>
          <w:rFonts w:ascii="宋体" w:hAnsi="宋体"/>
          <w:sz w:val="24"/>
          <w:szCs w:val="24"/>
          <w:lang w:val="zh-CN"/>
        </w:rPr>
      </w:pPr>
      <w:r>
        <w:rPr>
          <w:rFonts w:hint="eastAsia" w:ascii="宋体" w:hAnsi="宋体"/>
          <w:sz w:val="24"/>
          <w:szCs w:val="24"/>
          <w:lang w:val="zh-CN"/>
        </w:rPr>
        <w:t>截至2022年12月31日,本部门共有车辆1辆,其中,副部(省)级及以上领导用车0辆、主要领导干部用车0辆、机要通信用车0辆、应急保障用车0辆、执法执勤用车0辆,特种专业技术用车0辆,离退休干部用车0辆,其他用车1辆,其他用车主要是用于业务开展，单价100万元(含)以上设备0台(套)。</w:t>
      </w:r>
    </w:p>
    <w:p w14:paraId="387F8035">
      <w:pPr>
        <w:spacing w:before="100" w:after="100"/>
        <w:ind w:firstLine="480" w:firstLineChars="200"/>
        <w:jc w:val="left"/>
        <w:rPr>
          <w:rFonts w:ascii="宋体" w:hAnsi="宋体"/>
          <w:sz w:val="24"/>
          <w:szCs w:val="24"/>
          <w:lang w:val="zh-CN"/>
        </w:rPr>
      </w:pPr>
      <w:r>
        <w:rPr>
          <w:rFonts w:hint="eastAsia" w:ascii="宋体" w:hAnsi="宋体"/>
          <w:sz w:val="24"/>
          <w:szCs w:val="24"/>
          <w:lang w:val="zh-CN"/>
        </w:rPr>
        <w:t>十、政府性基金预算财政拨款收支决算情况说明</w:t>
      </w:r>
    </w:p>
    <w:p w14:paraId="35A2F75D">
      <w:pPr>
        <w:spacing w:before="100" w:beforeLines="0" w:after="100" w:afterLines="0"/>
        <w:ind w:firstLine="480" w:firstLineChars="200"/>
        <w:jc w:val="left"/>
        <w:rPr>
          <w:rFonts w:hint="eastAsia" w:ascii="宋体" w:hAnsi="宋体" w:cs="Arial"/>
          <w:color w:val="auto"/>
          <w:sz w:val="24"/>
          <w:szCs w:val="24"/>
          <w:lang w:val="zh-CN"/>
        </w:rPr>
      </w:pPr>
      <w:r>
        <w:rPr>
          <w:rFonts w:hint="eastAsia" w:ascii="宋体" w:hAnsi="宋体" w:cs="Arial"/>
          <w:color w:val="auto"/>
          <w:sz w:val="24"/>
          <w:szCs w:val="24"/>
          <w:lang w:val="en-US" w:eastAsia="zh-CN"/>
        </w:rPr>
        <w:t>2022年度政府性基金预算财政拨款年初结转和结余0.00万元，本年收入0.00万元，本年支出0.00万元，年末结转和结余0.00万元</w:t>
      </w:r>
      <w:r>
        <w:rPr>
          <w:rFonts w:hint="eastAsia" w:ascii="宋体" w:hAnsi="宋体" w:cs="Arial"/>
          <w:color w:val="auto"/>
          <w:sz w:val="24"/>
          <w:szCs w:val="24"/>
          <w:lang w:val="zh-CN"/>
        </w:rPr>
        <w:t>。本单位202</w:t>
      </w:r>
      <w:r>
        <w:rPr>
          <w:rFonts w:hint="eastAsia" w:ascii="宋体" w:hAnsi="宋体" w:cs="Arial"/>
          <w:color w:val="auto"/>
          <w:sz w:val="24"/>
          <w:szCs w:val="24"/>
          <w:lang w:val="en-US" w:eastAsia="zh-CN"/>
        </w:rPr>
        <w:t>2</w:t>
      </w:r>
      <w:r>
        <w:rPr>
          <w:rFonts w:hint="eastAsia" w:ascii="宋体" w:hAnsi="宋体" w:cs="Arial"/>
          <w:color w:val="auto"/>
          <w:sz w:val="24"/>
          <w:szCs w:val="24"/>
          <w:lang w:val="zh-CN"/>
        </w:rPr>
        <w:t>年度无政府性基金收入,也没有使用政府性基金安排的支出。</w:t>
      </w:r>
    </w:p>
    <w:p w14:paraId="11F8FB9B">
      <w:pPr>
        <w:spacing w:before="100" w:after="100"/>
        <w:ind w:firstLine="480" w:firstLineChars="200"/>
        <w:jc w:val="left"/>
        <w:rPr>
          <w:rFonts w:ascii="宋体" w:hAnsi="宋体"/>
          <w:sz w:val="24"/>
          <w:szCs w:val="24"/>
          <w:lang w:val="zh-CN"/>
        </w:rPr>
      </w:pPr>
      <w:r>
        <w:rPr>
          <w:rFonts w:hint="eastAsia" w:ascii="宋体" w:hAnsi="宋体"/>
          <w:sz w:val="24"/>
          <w:szCs w:val="24"/>
          <w:lang w:val="zh-CN"/>
        </w:rPr>
        <w:t>十</w:t>
      </w:r>
      <w:r>
        <w:rPr>
          <w:rFonts w:hint="eastAsia" w:ascii="宋体" w:hAnsi="宋体"/>
          <w:sz w:val="24"/>
          <w:szCs w:val="24"/>
        </w:rPr>
        <w:t>一</w:t>
      </w:r>
      <w:r>
        <w:rPr>
          <w:rFonts w:hint="eastAsia" w:ascii="宋体" w:hAnsi="宋体"/>
          <w:sz w:val="24"/>
          <w:szCs w:val="24"/>
          <w:lang w:val="zh-CN"/>
        </w:rPr>
        <w:t>、国有资本经营预算财政拨款支出情况说明</w:t>
      </w:r>
    </w:p>
    <w:p w14:paraId="45B7C7B6">
      <w:pPr>
        <w:spacing w:before="100" w:beforeLines="0" w:after="100" w:afterLines="0"/>
        <w:ind w:firstLine="480" w:firstLineChars="200"/>
        <w:jc w:val="left"/>
        <w:rPr>
          <w:rFonts w:hint="eastAsia" w:ascii="宋体" w:hAnsi="宋体" w:cs="Arial"/>
          <w:color w:val="auto"/>
          <w:sz w:val="24"/>
          <w:szCs w:val="24"/>
          <w:lang w:val="zh-CN" w:eastAsia="zh-CN"/>
        </w:rPr>
      </w:pPr>
      <w:r>
        <w:rPr>
          <w:rFonts w:hint="eastAsia" w:ascii="宋体" w:hAnsi="宋体" w:cs="Arial"/>
          <w:color w:val="auto"/>
          <w:sz w:val="24"/>
          <w:szCs w:val="24"/>
          <w:lang w:val="zh-CN" w:eastAsia="zh-CN"/>
        </w:rPr>
        <w:t>202</w:t>
      </w:r>
      <w:r>
        <w:rPr>
          <w:rFonts w:hint="eastAsia" w:ascii="宋体" w:hAnsi="宋体" w:cs="Arial"/>
          <w:color w:val="auto"/>
          <w:sz w:val="24"/>
          <w:szCs w:val="24"/>
          <w:lang w:val="en-US" w:eastAsia="zh-CN"/>
        </w:rPr>
        <w:t>2</w:t>
      </w:r>
      <w:r>
        <w:rPr>
          <w:rFonts w:hint="eastAsia" w:ascii="宋体" w:hAnsi="宋体" w:cs="Arial"/>
          <w:color w:val="auto"/>
          <w:sz w:val="24"/>
          <w:szCs w:val="24"/>
          <w:lang w:val="zh-CN" w:eastAsia="zh-CN"/>
        </w:rPr>
        <w:t>年度国有资本经营预算财政拨款本年支出0.00万元。本单位202</w:t>
      </w:r>
      <w:r>
        <w:rPr>
          <w:rFonts w:hint="eastAsia" w:ascii="宋体" w:hAnsi="宋体" w:cs="Arial"/>
          <w:color w:val="auto"/>
          <w:sz w:val="24"/>
          <w:szCs w:val="24"/>
          <w:lang w:val="en-US" w:eastAsia="zh-CN"/>
        </w:rPr>
        <w:t>2</w:t>
      </w:r>
      <w:r>
        <w:rPr>
          <w:rFonts w:hint="eastAsia" w:ascii="宋体" w:hAnsi="宋体" w:cs="Arial"/>
          <w:color w:val="auto"/>
          <w:sz w:val="24"/>
          <w:szCs w:val="24"/>
          <w:lang w:val="zh-CN" w:eastAsia="zh-CN"/>
        </w:rPr>
        <w:t>年度没有使用国有资本经营预算安排的支出。</w:t>
      </w:r>
    </w:p>
    <w:p w14:paraId="11A6F03D">
      <w:pPr>
        <w:spacing w:before="100" w:after="100"/>
        <w:ind w:firstLine="480" w:firstLineChars="200"/>
        <w:jc w:val="left"/>
        <w:rPr>
          <w:rFonts w:ascii="宋体" w:hAnsi="宋体"/>
          <w:sz w:val="24"/>
          <w:szCs w:val="24"/>
          <w:lang w:val="zh-CN"/>
        </w:rPr>
      </w:pPr>
      <w:r>
        <w:rPr>
          <w:rFonts w:hint="eastAsia" w:ascii="宋体" w:hAnsi="宋体"/>
          <w:sz w:val="24"/>
          <w:szCs w:val="24"/>
        </w:rPr>
        <w:t>十二</w:t>
      </w:r>
      <w:r>
        <w:rPr>
          <w:rFonts w:hint="eastAsia" w:ascii="宋体" w:hAnsi="宋体"/>
          <w:sz w:val="24"/>
          <w:szCs w:val="24"/>
          <w:lang w:val="zh-CN"/>
        </w:rPr>
        <w:t>、财政拨款</w:t>
      </w:r>
      <w:r>
        <w:rPr>
          <w:rFonts w:ascii="宋体" w:hAnsi="宋体"/>
          <w:sz w:val="24"/>
          <w:szCs w:val="24"/>
          <w:lang w:val="zh-CN"/>
        </w:rPr>
        <w:t>“</w:t>
      </w:r>
      <w:r>
        <w:rPr>
          <w:rFonts w:hint="eastAsia" w:ascii="宋体" w:hAnsi="宋体"/>
          <w:sz w:val="24"/>
          <w:szCs w:val="24"/>
          <w:lang w:val="zh-CN"/>
        </w:rPr>
        <w:t>三公</w:t>
      </w:r>
      <w:r>
        <w:rPr>
          <w:rFonts w:ascii="宋体" w:hAnsi="宋体"/>
          <w:sz w:val="24"/>
          <w:szCs w:val="24"/>
          <w:lang w:val="zh-CN"/>
        </w:rPr>
        <w:t>”</w:t>
      </w:r>
      <w:r>
        <w:rPr>
          <w:rFonts w:hint="eastAsia" w:ascii="宋体" w:hAnsi="宋体"/>
          <w:sz w:val="24"/>
          <w:szCs w:val="24"/>
          <w:lang w:val="zh-CN"/>
        </w:rPr>
        <w:t>经费支出决算情况说明</w:t>
      </w:r>
    </w:p>
    <w:p w14:paraId="7EB64882">
      <w:pPr>
        <w:spacing w:before="100" w:after="100"/>
        <w:ind w:firstLine="482" w:firstLineChars="200"/>
        <w:jc w:val="left"/>
        <w:rPr>
          <w:rFonts w:ascii="宋体" w:hAnsi="宋体"/>
          <w:sz w:val="24"/>
          <w:szCs w:val="24"/>
          <w:lang w:val="zh-CN"/>
        </w:rPr>
      </w:pPr>
      <w:r>
        <w:rPr>
          <w:rFonts w:hint="eastAsia" w:ascii="宋体" w:hAnsi="宋体"/>
          <w:b/>
          <w:sz w:val="24"/>
          <w:szCs w:val="24"/>
          <w:lang w:val="zh-CN"/>
        </w:rPr>
        <w:t xml:space="preserve"> (一)</w:t>
      </w:r>
      <w:r>
        <w:rPr>
          <w:rFonts w:ascii="Times New Roman" w:hAnsi="Times New Roman" w:eastAsia="Times New Roman"/>
          <w:b/>
          <w:sz w:val="24"/>
          <w:szCs w:val="24"/>
          <w:lang w:val="zh-CN"/>
        </w:rPr>
        <w:t>“</w:t>
      </w:r>
      <w:r>
        <w:rPr>
          <w:rFonts w:hint="eastAsia" w:ascii="宋体" w:hAnsi="宋体"/>
          <w:b/>
          <w:sz w:val="24"/>
          <w:szCs w:val="24"/>
          <w:lang w:val="zh-CN"/>
        </w:rPr>
        <w:t>三公</w:t>
      </w:r>
      <w:r>
        <w:rPr>
          <w:rFonts w:ascii="Times New Roman" w:hAnsi="Times New Roman" w:eastAsia="Times New Roman"/>
          <w:b/>
          <w:sz w:val="24"/>
          <w:szCs w:val="24"/>
          <w:lang w:val="zh-CN"/>
        </w:rPr>
        <w:t>”</w:t>
      </w:r>
      <w:r>
        <w:rPr>
          <w:rFonts w:hint="eastAsia" w:ascii="宋体" w:hAnsi="宋体"/>
          <w:b/>
          <w:sz w:val="24"/>
          <w:szCs w:val="24"/>
          <w:lang w:val="zh-CN"/>
        </w:rPr>
        <w:t>经费财政拨款支出总体情况说明</w:t>
      </w:r>
    </w:p>
    <w:p w14:paraId="1129FE68">
      <w:pPr>
        <w:spacing w:before="100" w:beforeLines="0" w:after="100" w:afterLines="0"/>
        <w:ind w:firstLine="480" w:firstLineChars="200"/>
        <w:jc w:val="left"/>
        <w:rPr>
          <w:rFonts w:ascii="Times New Roman" w:hAnsi="Times New Roman" w:cs="Times New Roman"/>
          <w:sz w:val="24"/>
          <w:szCs w:val="24"/>
          <w:lang w:val="zh-CN"/>
        </w:rPr>
      </w:pPr>
      <w:r>
        <w:rPr>
          <w:rFonts w:hint="eastAsia" w:ascii="宋体" w:hAnsi="宋体"/>
          <w:sz w:val="24"/>
          <w:szCs w:val="24"/>
          <w:lang w:val="zh-CN"/>
        </w:rPr>
        <w:t>2022年度</w:t>
      </w:r>
      <w:r>
        <w:rPr>
          <w:rFonts w:ascii="宋体" w:hAnsi="宋体"/>
          <w:sz w:val="24"/>
          <w:szCs w:val="24"/>
          <w:lang w:val="zh-CN"/>
        </w:rPr>
        <w:t>“</w:t>
      </w:r>
      <w:r>
        <w:rPr>
          <w:rFonts w:hint="eastAsia" w:ascii="宋体" w:hAnsi="宋体"/>
          <w:sz w:val="24"/>
          <w:szCs w:val="24"/>
          <w:lang w:val="zh-CN"/>
        </w:rPr>
        <w:t>三公</w:t>
      </w:r>
      <w:r>
        <w:rPr>
          <w:rFonts w:ascii="宋体" w:hAnsi="宋体"/>
          <w:sz w:val="24"/>
          <w:szCs w:val="24"/>
          <w:lang w:val="zh-CN"/>
        </w:rPr>
        <w:t>”</w:t>
      </w:r>
      <w:r>
        <w:rPr>
          <w:rFonts w:hint="eastAsia" w:ascii="宋体" w:hAnsi="宋体"/>
          <w:sz w:val="24"/>
          <w:szCs w:val="24"/>
          <w:lang w:val="zh-CN"/>
        </w:rPr>
        <w:t>经费支出</w:t>
      </w:r>
      <w:r>
        <w:rPr>
          <w:rFonts w:hint="eastAsia" w:ascii="宋体" w:hAnsi="宋体"/>
          <w:sz w:val="24"/>
          <w:szCs w:val="24"/>
        </w:rPr>
        <w:t>全年</w:t>
      </w:r>
      <w:r>
        <w:rPr>
          <w:rFonts w:hint="eastAsia" w:ascii="宋体" w:hAnsi="宋体"/>
          <w:sz w:val="24"/>
          <w:szCs w:val="24"/>
          <w:lang w:val="zh-CN"/>
        </w:rPr>
        <w:t>预算数为2.20万元,支出决算为0.00万元,决算数小于预算数，</w:t>
      </w:r>
      <w:r>
        <w:rPr>
          <w:rFonts w:hint="eastAsia" w:ascii="宋体" w:hAnsi="宋体"/>
          <w:sz w:val="24"/>
          <w:szCs w:val="24"/>
          <w:lang w:val="en-US" w:eastAsia="zh-CN"/>
        </w:rPr>
        <w:t>小于</w:t>
      </w:r>
      <w:r>
        <w:rPr>
          <w:rFonts w:hint="eastAsia" w:ascii="宋体" w:hAnsi="宋体"/>
          <w:sz w:val="24"/>
          <w:szCs w:val="24"/>
          <w:lang w:val="zh-CN"/>
        </w:rPr>
        <w:t>的主要原因是本年未支出。</w:t>
      </w:r>
      <w:r>
        <w:rPr>
          <w:rFonts w:hint="eastAsia" w:ascii="宋体" w:hAnsi="宋体" w:cs="Arial"/>
          <w:color w:val="auto"/>
          <w:sz w:val="24"/>
          <w:szCs w:val="24"/>
          <w:lang w:val="en-US" w:eastAsia="zh-CN"/>
        </w:rPr>
        <w:t>较上年决算数减少0.0万元,下降0%,</w:t>
      </w:r>
      <w:r>
        <w:rPr>
          <w:rFonts w:hint="eastAsia" w:ascii="宋体" w:hAnsi="宋体"/>
          <w:sz w:val="24"/>
          <w:szCs w:val="24"/>
        </w:rPr>
        <w:t>与上年持平</w:t>
      </w:r>
      <w:r>
        <w:rPr>
          <w:rFonts w:hint="eastAsia" w:ascii="宋体" w:hAnsi="宋体" w:cs="Arial"/>
          <w:color w:val="auto"/>
          <w:sz w:val="24"/>
          <w:szCs w:val="24"/>
          <w:lang w:val="zh-CN" w:eastAsia="zh-CN"/>
        </w:rPr>
        <w:t>，</w:t>
      </w:r>
      <w:r>
        <w:rPr>
          <w:rFonts w:hint="eastAsia" w:ascii="宋体" w:hAnsi="宋体"/>
          <w:color w:val="auto"/>
          <w:sz w:val="24"/>
          <w:szCs w:val="24"/>
          <w:lang w:val="zh-CN"/>
        </w:rPr>
        <w:t>持平的主要原因是</w:t>
      </w:r>
      <w:r>
        <w:rPr>
          <w:rFonts w:hint="eastAsia" w:ascii="宋体" w:hAnsi="宋体"/>
          <w:color w:val="auto"/>
          <w:sz w:val="24"/>
          <w:szCs w:val="24"/>
          <w:lang w:val="en-US" w:eastAsia="zh-CN"/>
        </w:rPr>
        <w:t>落实过紧日子要求，厉行节约</w:t>
      </w:r>
      <w:r>
        <w:rPr>
          <w:rFonts w:hint="eastAsia" w:ascii="宋体" w:hAnsi="宋体"/>
          <w:color w:val="auto"/>
          <w:sz w:val="24"/>
          <w:szCs w:val="24"/>
          <w:lang w:val="zh-CN"/>
        </w:rPr>
        <w:t>。</w:t>
      </w:r>
    </w:p>
    <w:p w14:paraId="187F9F28">
      <w:pPr>
        <w:spacing w:before="100" w:after="100"/>
        <w:ind w:firstLine="482" w:firstLineChars="200"/>
        <w:jc w:val="left"/>
        <w:rPr>
          <w:rFonts w:ascii="宋体" w:hAnsi="宋体"/>
          <w:sz w:val="24"/>
          <w:szCs w:val="24"/>
          <w:lang w:val="zh-CN"/>
        </w:rPr>
      </w:pPr>
      <w:r>
        <w:rPr>
          <w:rFonts w:hint="eastAsia" w:ascii="宋体" w:hAnsi="宋体"/>
          <w:b/>
          <w:sz w:val="24"/>
          <w:szCs w:val="24"/>
          <w:lang w:val="zh-CN"/>
        </w:rPr>
        <w:t>(二)</w:t>
      </w:r>
      <w:r>
        <w:rPr>
          <w:rFonts w:ascii="Times New Roman" w:hAnsi="Times New Roman" w:eastAsia="Times New Roman"/>
          <w:b/>
          <w:sz w:val="24"/>
          <w:szCs w:val="24"/>
          <w:lang w:val="zh-CN"/>
        </w:rPr>
        <w:t>“</w:t>
      </w:r>
      <w:r>
        <w:rPr>
          <w:rFonts w:hint="eastAsia" w:ascii="宋体" w:hAnsi="宋体"/>
          <w:b/>
          <w:sz w:val="24"/>
          <w:szCs w:val="24"/>
          <w:lang w:val="zh-CN"/>
        </w:rPr>
        <w:t>三公</w:t>
      </w:r>
      <w:r>
        <w:rPr>
          <w:rFonts w:ascii="Times New Roman" w:hAnsi="Times New Roman" w:eastAsia="Times New Roman"/>
          <w:b/>
          <w:sz w:val="24"/>
          <w:szCs w:val="24"/>
          <w:lang w:val="zh-CN"/>
        </w:rPr>
        <w:t>”</w:t>
      </w:r>
      <w:r>
        <w:rPr>
          <w:rFonts w:hint="eastAsia" w:ascii="宋体" w:hAnsi="宋体"/>
          <w:b/>
          <w:sz w:val="24"/>
          <w:szCs w:val="24"/>
          <w:lang w:val="zh-CN"/>
        </w:rPr>
        <w:t>经费财政拨款支出决算具体情况说明</w:t>
      </w:r>
    </w:p>
    <w:p w14:paraId="32B134B9">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Times New Roman" w:hAnsi="Times New Roman" w:cs="Times New Roman"/>
          <w:sz w:val="24"/>
          <w:szCs w:val="24"/>
          <w:lang w:val="zh-CN"/>
        </w:rPr>
      </w:pPr>
      <w:r>
        <w:rPr>
          <w:rFonts w:ascii="Times New Roman" w:hAnsi="Times New Roman" w:eastAsia="Times New Roman"/>
          <w:b/>
          <w:sz w:val="24"/>
          <w:szCs w:val="24"/>
          <w:lang w:val="zh-CN"/>
        </w:rPr>
        <w:t>1.</w:t>
      </w:r>
      <w:r>
        <w:rPr>
          <w:rFonts w:hint="eastAsia" w:ascii="宋体" w:hAnsi="宋体"/>
          <w:b/>
          <w:sz w:val="24"/>
          <w:szCs w:val="24"/>
          <w:lang w:val="zh-CN"/>
        </w:rPr>
        <w:t>因公出国(境)费用</w:t>
      </w:r>
      <w:r>
        <w:rPr>
          <w:rFonts w:hint="eastAsia" w:ascii="宋体" w:hAnsi="宋体"/>
          <w:sz w:val="24"/>
          <w:szCs w:val="24"/>
        </w:rPr>
        <w:t>全年</w:t>
      </w:r>
      <w:r>
        <w:rPr>
          <w:rFonts w:hint="eastAsia" w:ascii="宋体" w:hAnsi="宋体"/>
          <w:sz w:val="24"/>
          <w:szCs w:val="24"/>
          <w:lang w:val="zh-CN"/>
        </w:rPr>
        <w:t>预算数为0.00万元,支出决算为0.00万元。</w:t>
      </w:r>
      <w:r>
        <w:rPr>
          <w:rFonts w:ascii="Times New Roman" w:hAnsi="Times New Roman" w:cs="Times New Roman"/>
          <w:sz w:val="24"/>
          <w:szCs w:val="24"/>
          <w:lang w:val="zh-CN"/>
        </w:rPr>
        <w:t>决算数</w:t>
      </w:r>
      <w:r>
        <w:rPr>
          <w:rFonts w:hint="eastAsia" w:ascii="Times New Roman" w:hAnsi="Times New Roman" w:cs="Times New Roman"/>
          <w:sz w:val="24"/>
          <w:szCs w:val="24"/>
        </w:rPr>
        <w:t>与</w:t>
      </w:r>
      <w:r>
        <w:rPr>
          <w:rFonts w:ascii="Times New Roman" w:hAnsi="Times New Roman" w:cs="Times New Roman"/>
          <w:sz w:val="24"/>
          <w:szCs w:val="24"/>
          <w:lang w:val="zh-CN"/>
        </w:rPr>
        <w:t>预算</w:t>
      </w:r>
      <w:r>
        <w:rPr>
          <w:rFonts w:hint="eastAsia" w:ascii="宋体" w:hAnsi="宋体" w:cs="Arial"/>
          <w:color w:val="auto"/>
          <w:sz w:val="24"/>
          <w:szCs w:val="24"/>
          <w:lang w:val="zh-CN"/>
        </w:rPr>
        <w:t>数一致，</w:t>
      </w:r>
      <w:r>
        <w:rPr>
          <w:rFonts w:hint="eastAsia" w:ascii="宋体" w:hAnsi="宋体" w:cs="Arial"/>
          <w:color w:val="auto"/>
          <w:sz w:val="24"/>
          <w:szCs w:val="24"/>
          <w:lang w:val="en-US" w:eastAsia="zh-CN"/>
        </w:rPr>
        <w:t>一致的主要原因是没有安排预算。较上年决算数减少0.0万元,下降0%,与上年持平</w:t>
      </w:r>
      <w:r>
        <w:rPr>
          <w:rFonts w:hint="eastAsia" w:ascii="宋体" w:hAnsi="宋体" w:cs="Arial"/>
          <w:color w:val="auto"/>
          <w:sz w:val="24"/>
          <w:szCs w:val="24"/>
          <w:lang w:val="zh-CN" w:eastAsia="zh-CN"/>
        </w:rPr>
        <w:t>，</w:t>
      </w:r>
      <w:r>
        <w:rPr>
          <w:rFonts w:hint="eastAsia" w:ascii="宋体" w:hAnsi="宋体" w:cs="Arial"/>
          <w:color w:val="auto"/>
          <w:sz w:val="24"/>
          <w:szCs w:val="24"/>
          <w:lang w:val="zh-CN"/>
        </w:rPr>
        <w:t>持平的主要原因是我</w:t>
      </w:r>
      <w:r>
        <w:rPr>
          <w:rFonts w:hint="eastAsia" w:ascii="宋体" w:hAnsi="宋体" w:cs="Arial"/>
          <w:color w:val="auto"/>
          <w:sz w:val="24"/>
          <w:szCs w:val="24"/>
          <w:lang w:val="en-US" w:eastAsia="zh-CN"/>
        </w:rPr>
        <w:t>单位</w:t>
      </w:r>
      <w:r>
        <w:rPr>
          <w:rFonts w:hint="eastAsia" w:ascii="宋体" w:hAnsi="宋体" w:cs="Arial"/>
          <w:color w:val="auto"/>
          <w:sz w:val="24"/>
          <w:szCs w:val="24"/>
          <w:lang w:val="zh-CN"/>
        </w:rPr>
        <w:t>202</w:t>
      </w:r>
      <w:r>
        <w:rPr>
          <w:rFonts w:hint="eastAsia" w:ascii="宋体" w:hAnsi="宋体" w:cs="Arial"/>
          <w:color w:val="auto"/>
          <w:sz w:val="24"/>
          <w:szCs w:val="24"/>
          <w:lang w:val="en-US" w:eastAsia="zh-CN"/>
        </w:rPr>
        <w:t>1</w:t>
      </w:r>
      <w:r>
        <w:rPr>
          <w:rFonts w:hint="eastAsia" w:ascii="宋体" w:hAnsi="宋体" w:cs="Arial"/>
          <w:color w:val="auto"/>
          <w:sz w:val="24"/>
          <w:szCs w:val="24"/>
          <w:lang w:val="zh-CN"/>
        </w:rPr>
        <w:t>年、202</w:t>
      </w:r>
      <w:r>
        <w:rPr>
          <w:rFonts w:hint="eastAsia" w:ascii="宋体" w:hAnsi="宋体" w:cs="Arial"/>
          <w:color w:val="auto"/>
          <w:sz w:val="24"/>
          <w:szCs w:val="24"/>
          <w:lang w:val="en-US" w:eastAsia="zh-CN"/>
        </w:rPr>
        <w:t>2</w:t>
      </w:r>
      <w:r>
        <w:rPr>
          <w:rFonts w:hint="eastAsia" w:ascii="宋体" w:hAnsi="宋体" w:cs="Arial"/>
          <w:color w:val="auto"/>
          <w:sz w:val="24"/>
          <w:szCs w:val="24"/>
          <w:lang w:val="zh-CN"/>
        </w:rPr>
        <w:t>年无因公出国（境）公务活动。</w:t>
      </w:r>
    </w:p>
    <w:p w14:paraId="0453EA92">
      <w:pPr>
        <w:spacing w:before="100" w:beforeLines="0" w:after="100" w:afterLines="0"/>
        <w:ind w:firstLine="480" w:firstLineChars="200"/>
        <w:jc w:val="left"/>
        <w:rPr>
          <w:rFonts w:ascii="Times New Roman" w:hAnsi="Times New Roman" w:cs="Times New Roman"/>
          <w:sz w:val="24"/>
          <w:szCs w:val="24"/>
          <w:lang w:val="zh-CN"/>
        </w:rPr>
      </w:pPr>
      <w:r>
        <w:rPr>
          <w:rFonts w:ascii="Times New Roman" w:hAnsi="Times New Roman" w:eastAsia="Times New Roman"/>
          <w:b/>
          <w:sz w:val="24"/>
          <w:szCs w:val="24"/>
          <w:lang w:val="zh-CN"/>
        </w:rPr>
        <w:t>2.</w:t>
      </w:r>
      <w:r>
        <w:rPr>
          <w:rFonts w:hint="eastAsia" w:ascii="宋体" w:hAnsi="宋体"/>
          <w:b/>
          <w:sz w:val="24"/>
          <w:szCs w:val="24"/>
          <w:lang w:val="zh-CN"/>
        </w:rPr>
        <w:t>公务用车购置及运行维护费</w:t>
      </w:r>
      <w:r>
        <w:rPr>
          <w:rFonts w:hint="eastAsia" w:ascii="宋体" w:hAnsi="宋体"/>
          <w:sz w:val="24"/>
          <w:szCs w:val="24"/>
        </w:rPr>
        <w:t>全年</w:t>
      </w:r>
      <w:r>
        <w:rPr>
          <w:rFonts w:hint="eastAsia" w:ascii="宋体" w:hAnsi="宋体"/>
          <w:sz w:val="24"/>
          <w:szCs w:val="24"/>
          <w:lang w:val="zh-CN"/>
        </w:rPr>
        <w:t>预算数为2.00万元,支出决算为0.00万元。决算数小于预算数，</w:t>
      </w:r>
      <w:r>
        <w:rPr>
          <w:rFonts w:hint="eastAsia" w:ascii="宋体" w:hAnsi="宋体"/>
          <w:sz w:val="24"/>
          <w:szCs w:val="24"/>
          <w:lang w:val="en-US" w:eastAsia="zh-CN"/>
        </w:rPr>
        <w:t>小于</w:t>
      </w:r>
      <w:r>
        <w:rPr>
          <w:rFonts w:hint="eastAsia" w:ascii="宋体" w:hAnsi="宋体"/>
          <w:sz w:val="24"/>
          <w:szCs w:val="24"/>
          <w:lang w:val="zh-CN"/>
        </w:rPr>
        <w:t>的主要原因是本年未支出。</w:t>
      </w:r>
      <w:r>
        <w:rPr>
          <w:rFonts w:hint="eastAsia" w:ascii="宋体" w:hAnsi="宋体" w:cs="Arial"/>
          <w:color w:val="auto"/>
          <w:sz w:val="24"/>
          <w:szCs w:val="24"/>
          <w:lang w:val="en-US" w:eastAsia="zh-CN"/>
        </w:rPr>
        <w:t>较上年决算数减少0.0万元,下降0%,</w:t>
      </w:r>
      <w:bookmarkStart w:id="2" w:name="_GoBack"/>
      <w:bookmarkEnd w:id="2"/>
      <w:r>
        <w:rPr>
          <w:rFonts w:hint="eastAsia" w:ascii="宋体" w:hAnsi="宋体"/>
          <w:sz w:val="24"/>
          <w:szCs w:val="24"/>
        </w:rPr>
        <w:t>与上年持平</w:t>
      </w:r>
      <w:r>
        <w:rPr>
          <w:rFonts w:hint="eastAsia" w:ascii="宋体" w:hAnsi="宋体" w:cs="Arial"/>
          <w:color w:val="auto"/>
          <w:sz w:val="24"/>
          <w:szCs w:val="24"/>
          <w:lang w:val="zh-CN" w:eastAsia="zh-CN"/>
        </w:rPr>
        <w:t>，</w:t>
      </w:r>
      <w:r>
        <w:rPr>
          <w:rFonts w:hint="eastAsia" w:ascii="宋体" w:hAnsi="宋体"/>
          <w:color w:val="auto"/>
          <w:sz w:val="24"/>
          <w:szCs w:val="24"/>
          <w:lang w:val="zh-CN"/>
        </w:rPr>
        <w:t>持平的主要原因是</w:t>
      </w:r>
      <w:r>
        <w:rPr>
          <w:rFonts w:hint="eastAsia" w:ascii="宋体" w:hAnsi="宋体"/>
          <w:color w:val="auto"/>
          <w:sz w:val="24"/>
          <w:szCs w:val="24"/>
          <w:lang w:val="en-US" w:eastAsia="zh-CN"/>
        </w:rPr>
        <w:t>落实过紧日子要求，厉行节约</w:t>
      </w:r>
      <w:r>
        <w:rPr>
          <w:rFonts w:hint="eastAsia" w:ascii="宋体" w:hAnsi="宋体"/>
          <w:color w:val="auto"/>
          <w:sz w:val="24"/>
          <w:szCs w:val="24"/>
          <w:lang w:val="zh-CN"/>
        </w:rPr>
        <w:t>。</w:t>
      </w:r>
    </w:p>
    <w:p w14:paraId="4D5B04C0">
      <w:pPr>
        <w:spacing w:before="100" w:after="100"/>
        <w:ind w:firstLine="482" w:firstLineChars="200"/>
        <w:rPr>
          <w:rFonts w:ascii="Times New Roman" w:hAnsi="Times New Roman" w:cs="Times New Roman"/>
          <w:sz w:val="24"/>
          <w:szCs w:val="24"/>
          <w:lang w:val="zh-CN"/>
        </w:rPr>
      </w:pPr>
      <w:r>
        <w:rPr>
          <w:rFonts w:hint="eastAsia" w:ascii="宋体" w:hAnsi="宋体"/>
          <w:b/>
          <w:sz w:val="24"/>
          <w:szCs w:val="24"/>
          <w:lang w:val="zh-CN"/>
        </w:rPr>
        <w:t>其中：公务用车购置费</w:t>
      </w:r>
      <w:r>
        <w:rPr>
          <w:rFonts w:hint="eastAsia" w:ascii="宋体" w:hAnsi="宋体"/>
          <w:sz w:val="24"/>
          <w:szCs w:val="24"/>
        </w:rPr>
        <w:t>全年</w:t>
      </w:r>
      <w:r>
        <w:rPr>
          <w:rFonts w:hint="eastAsia" w:ascii="宋体" w:hAnsi="宋体"/>
          <w:sz w:val="24"/>
          <w:szCs w:val="24"/>
          <w:lang w:val="zh-CN"/>
        </w:rPr>
        <w:t>预算数为0.00万元,支出决算为0.00万元。</w:t>
      </w:r>
      <w:r>
        <w:rPr>
          <w:rFonts w:ascii="Times New Roman" w:hAnsi="Times New Roman" w:cs="Times New Roman"/>
          <w:sz w:val="24"/>
          <w:szCs w:val="24"/>
          <w:lang w:val="zh-CN"/>
        </w:rPr>
        <w:t>决算数</w:t>
      </w:r>
      <w:r>
        <w:rPr>
          <w:rFonts w:hint="eastAsia" w:ascii="宋体" w:hAnsi="宋体" w:cs="Arial"/>
          <w:color w:val="auto"/>
          <w:sz w:val="24"/>
          <w:szCs w:val="24"/>
          <w:lang w:val="zh-CN"/>
        </w:rPr>
        <w:t>与预算数一致</w:t>
      </w:r>
      <w:r>
        <w:rPr>
          <w:rFonts w:hint="eastAsia" w:ascii="宋体" w:hAnsi="宋体" w:cs="Arial"/>
          <w:color w:val="auto"/>
          <w:sz w:val="24"/>
          <w:szCs w:val="24"/>
          <w:lang w:val="en-US" w:eastAsia="zh-CN"/>
        </w:rPr>
        <w:t>，一致的主要原因是没有安排预算。较上年决算数减少0.0万元,下降0%,与上年持平</w:t>
      </w:r>
      <w:r>
        <w:rPr>
          <w:rFonts w:hint="eastAsia" w:ascii="宋体" w:hAnsi="宋体" w:cs="Arial"/>
          <w:color w:val="auto"/>
          <w:sz w:val="24"/>
          <w:szCs w:val="24"/>
          <w:lang w:val="zh-CN" w:eastAsia="zh-CN"/>
        </w:rPr>
        <w:t>，</w:t>
      </w:r>
      <w:r>
        <w:rPr>
          <w:rFonts w:hint="eastAsia" w:ascii="宋体" w:hAnsi="宋体" w:cs="Arial"/>
          <w:color w:val="auto"/>
          <w:sz w:val="24"/>
          <w:szCs w:val="24"/>
          <w:lang w:val="zh-CN"/>
        </w:rPr>
        <w:t>持平的主要原因是本年度各单位未安排公务购车。</w:t>
      </w:r>
    </w:p>
    <w:p w14:paraId="1D5427D2">
      <w:pPr>
        <w:spacing w:before="100" w:beforeLines="0" w:after="100" w:afterLines="0"/>
        <w:ind w:firstLine="482" w:firstLineChars="200"/>
        <w:jc w:val="left"/>
        <w:rPr>
          <w:rFonts w:hint="eastAsia" w:ascii="宋体" w:hAnsi="宋体"/>
          <w:color w:val="auto"/>
          <w:sz w:val="24"/>
          <w:szCs w:val="24"/>
          <w:lang w:val="zh-CN"/>
        </w:rPr>
      </w:pPr>
      <w:r>
        <w:rPr>
          <w:rFonts w:hint="eastAsia" w:ascii="宋体" w:hAnsi="宋体"/>
          <w:b/>
          <w:sz w:val="24"/>
          <w:szCs w:val="24"/>
          <w:lang w:val="zh-CN"/>
        </w:rPr>
        <w:t>公务用车运行维护费</w:t>
      </w:r>
      <w:r>
        <w:rPr>
          <w:rFonts w:hint="eastAsia" w:ascii="宋体" w:hAnsi="宋体"/>
          <w:sz w:val="24"/>
          <w:szCs w:val="24"/>
        </w:rPr>
        <w:t>全年</w:t>
      </w:r>
      <w:r>
        <w:rPr>
          <w:rFonts w:hint="eastAsia" w:ascii="宋体" w:hAnsi="宋体"/>
          <w:sz w:val="24"/>
          <w:szCs w:val="24"/>
          <w:lang w:val="zh-CN"/>
        </w:rPr>
        <w:t>预算数为2.00万元,支出决算为0.00万元,决算数小于预算数，</w:t>
      </w:r>
      <w:r>
        <w:rPr>
          <w:rFonts w:hint="eastAsia" w:ascii="宋体" w:hAnsi="宋体"/>
          <w:sz w:val="24"/>
          <w:szCs w:val="24"/>
          <w:lang w:val="en-US" w:eastAsia="zh-CN"/>
        </w:rPr>
        <w:t>小于</w:t>
      </w:r>
      <w:r>
        <w:rPr>
          <w:rFonts w:hint="eastAsia" w:ascii="宋体" w:hAnsi="宋体"/>
          <w:sz w:val="24"/>
          <w:szCs w:val="24"/>
          <w:lang w:val="zh-CN"/>
        </w:rPr>
        <w:t>的</w:t>
      </w:r>
      <w:r>
        <w:rPr>
          <w:rFonts w:hint="eastAsia" w:ascii="宋体" w:hAnsi="宋体"/>
          <w:sz w:val="24"/>
          <w:szCs w:val="24"/>
        </w:rPr>
        <w:t>主要原因是本年未支出</w:t>
      </w:r>
      <w:r>
        <w:rPr>
          <w:rFonts w:hint="eastAsia" w:ascii="宋体" w:hAnsi="宋体"/>
          <w:sz w:val="24"/>
          <w:szCs w:val="24"/>
          <w:lang w:eastAsia="zh-CN"/>
        </w:rPr>
        <w:t>。</w:t>
      </w:r>
      <w:r>
        <w:rPr>
          <w:rFonts w:hint="eastAsia" w:ascii="宋体" w:hAnsi="宋体" w:cs="Arial"/>
          <w:color w:val="auto"/>
          <w:sz w:val="24"/>
          <w:szCs w:val="24"/>
          <w:lang w:val="en-US" w:eastAsia="zh-CN"/>
        </w:rPr>
        <w:t>较上年决算数减少0.0万元,下降0%,</w:t>
      </w:r>
      <w:r>
        <w:rPr>
          <w:rFonts w:hint="eastAsia" w:ascii="宋体" w:hAnsi="宋体"/>
          <w:sz w:val="24"/>
          <w:szCs w:val="24"/>
        </w:rPr>
        <w:t>与上年持平</w:t>
      </w:r>
      <w:r>
        <w:rPr>
          <w:rFonts w:hint="eastAsia" w:ascii="宋体" w:hAnsi="宋体" w:cs="Arial"/>
          <w:color w:val="auto"/>
          <w:sz w:val="24"/>
          <w:szCs w:val="24"/>
          <w:lang w:val="zh-CN" w:eastAsia="zh-CN"/>
        </w:rPr>
        <w:t>，</w:t>
      </w:r>
      <w:r>
        <w:rPr>
          <w:rFonts w:hint="eastAsia" w:ascii="宋体" w:hAnsi="宋体"/>
          <w:color w:val="auto"/>
          <w:sz w:val="24"/>
          <w:szCs w:val="24"/>
          <w:lang w:val="zh-CN"/>
        </w:rPr>
        <w:t>持平的主要原因是</w:t>
      </w:r>
      <w:r>
        <w:rPr>
          <w:rFonts w:hint="eastAsia" w:ascii="宋体" w:hAnsi="宋体"/>
          <w:color w:val="auto"/>
          <w:sz w:val="24"/>
          <w:szCs w:val="24"/>
          <w:lang w:val="en-US" w:eastAsia="zh-CN"/>
        </w:rPr>
        <w:t>落实过紧日子要求，厉行节约</w:t>
      </w:r>
      <w:r>
        <w:rPr>
          <w:rFonts w:hint="eastAsia" w:ascii="宋体" w:hAnsi="宋体"/>
          <w:color w:val="auto"/>
          <w:sz w:val="24"/>
          <w:szCs w:val="24"/>
          <w:lang w:val="zh-CN"/>
        </w:rPr>
        <w:t>。</w:t>
      </w:r>
    </w:p>
    <w:p w14:paraId="1D0D3AF9">
      <w:pPr>
        <w:spacing w:before="100" w:beforeLines="0" w:after="100" w:afterLines="0"/>
        <w:ind w:firstLine="480" w:firstLineChars="200"/>
        <w:jc w:val="left"/>
        <w:rPr>
          <w:rFonts w:hint="eastAsia" w:ascii="宋体" w:hAnsi="宋体"/>
          <w:color w:val="auto"/>
          <w:sz w:val="24"/>
          <w:szCs w:val="24"/>
          <w:lang w:val="zh-CN"/>
        </w:rPr>
      </w:pPr>
      <w:r>
        <w:rPr>
          <w:rFonts w:ascii="Times New Roman" w:hAnsi="Times New Roman" w:eastAsia="Times New Roman"/>
          <w:b/>
          <w:sz w:val="24"/>
          <w:szCs w:val="24"/>
          <w:lang w:val="zh-CN"/>
        </w:rPr>
        <w:t>3.</w:t>
      </w:r>
      <w:r>
        <w:rPr>
          <w:rFonts w:hint="eastAsia" w:ascii="宋体" w:hAnsi="宋体"/>
          <w:b/>
          <w:sz w:val="24"/>
          <w:szCs w:val="24"/>
          <w:lang w:val="zh-CN"/>
        </w:rPr>
        <w:t>公务接待费</w:t>
      </w:r>
      <w:r>
        <w:rPr>
          <w:rFonts w:hint="eastAsia" w:ascii="宋体" w:hAnsi="宋体"/>
          <w:sz w:val="24"/>
          <w:szCs w:val="24"/>
        </w:rPr>
        <w:t>全</w:t>
      </w:r>
      <w:r>
        <w:rPr>
          <w:rFonts w:hint="eastAsia" w:ascii="宋体" w:hAnsi="宋体"/>
          <w:sz w:val="24"/>
          <w:szCs w:val="24"/>
          <w:lang w:val="zh-CN"/>
        </w:rPr>
        <w:t>年预算数为0.20万元,支出决算为0.00万元,决算数小于预算数，</w:t>
      </w:r>
      <w:r>
        <w:rPr>
          <w:rFonts w:hint="eastAsia" w:ascii="宋体" w:hAnsi="宋体"/>
          <w:sz w:val="24"/>
          <w:szCs w:val="24"/>
          <w:lang w:val="en-US" w:eastAsia="zh-CN"/>
        </w:rPr>
        <w:t>小于</w:t>
      </w:r>
      <w:r>
        <w:rPr>
          <w:rFonts w:hint="eastAsia" w:ascii="宋体" w:hAnsi="宋体"/>
          <w:sz w:val="24"/>
          <w:szCs w:val="24"/>
          <w:lang w:val="zh-CN"/>
        </w:rPr>
        <w:t>的主要原因是本年未支出。</w:t>
      </w:r>
      <w:r>
        <w:rPr>
          <w:rFonts w:hint="eastAsia" w:ascii="宋体" w:hAnsi="宋体" w:cs="Arial"/>
          <w:color w:val="auto"/>
          <w:sz w:val="24"/>
          <w:szCs w:val="24"/>
          <w:lang w:val="en-US" w:eastAsia="zh-CN"/>
        </w:rPr>
        <w:t>较上年决算数减少0.0万元,下降0%,</w:t>
      </w:r>
      <w:r>
        <w:rPr>
          <w:rFonts w:hint="eastAsia" w:ascii="宋体" w:hAnsi="宋体"/>
          <w:sz w:val="24"/>
          <w:szCs w:val="24"/>
        </w:rPr>
        <w:t>与上年持平</w:t>
      </w:r>
      <w:r>
        <w:rPr>
          <w:rFonts w:hint="eastAsia" w:ascii="宋体" w:hAnsi="宋体" w:cs="Arial"/>
          <w:color w:val="auto"/>
          <w:sz w:val="24"/>
          <w:szCs w:val="24"/>
          <w:lang w:val="zh-CN" w:eastAsia="zh-CN"/>
        </w:rPr>
        <w:t>，</w:t>
      </w:r>
      <w:r>
        <w:rPr>
          <w:rFonts w:hint="eastAsia" w:ascii="宋体" w:hAnsi="宋体"/>
          <w:color w:val="auto"/>
          <w:sz w:val="24"/>
          <w:szCs w:val="24"/>
          <w:lang w:val="zh-CN"/>
        </w:rPr>
        <w:t>持平的主要原因是</w:t>
      </w:r>
      <w:r>
        <w:rPr>
          <w:rFonts w:hint="eastAsia" w:ascii="宋体" w:hAnsi="宋体"/>
          <w:color w:val="auto"/>
          <w:sz w:val="24"/>
          <w:szCs w:val="24"/>
          <w:lang w:val="en-US" w:eastAsia="zh-CN"/>
        </w:rPr>
        <w:t>落实过紧日子要求，厉行节约</w:t>
      </w:r>
      <w:r>
        <w:rPr>
          <w:rFonts w:hint="eastAsia" w:ascii="宋体" w:hAnsi="宋体"/>
          <w:color w:val="auto"/>
          <w:sz w:val="24"/>
          <w:szCs w:val="24"/>
          <w:lang w:val="zh-CN"/>
        </w:rPr>
        <w:t>。</w:t>
      </w:r>
    </w:p>
    <w:p w14:paraId="73CF55FE">
      <w:pPr>
        <w:spacing w:before="100" w:after="100"/>
        <w:ind w:firstLine="482" w:firstLineChars="200"/>
        <w:jc w:val="left"/>
        <w:rPr>
          <w:rFonts w:ascii="宋体" w:hAnsi="宋体"/>
          <w:sz w:val="24"/>
          <w:szCs w:val="24"/>
          <w:lang w:val="zh-CN"/>
        </w:rPr>
      </w:pPr>
      <w:r>
        <w:rPr>
          <w:rFonts w:hint="eastAsia" w:ascii="宋体" w:hAnsi="宋体"/>
          <w:b/>
          <w:sz w:val="24"/>
          <w:szCs w:val="24"/>
          <w:lang w:val="zh-CN"/>
        </w:rPr>
        <w:t>(三)</w:t>
      </w:r>
      <w:r>
        <w:rPr>
          <w:rFonts w:ascii="Times New Roman" w:hAnsi="Times New Roman" w:eastAsia="Times New Roman"/>
          <w:b/>
          <w:sz w:val="24"/>
          <w:szCs w:val="24"/>
          <w:lang w:val="zh-CN"/>
        </w:rPr>
        <w:t>“</w:t>
      </w:r>
      <w:r>
        <w:rPr>
          <w:rFonts w:hint="eastAsia" w:ascii="宋体" w:hAnsi="宋体"/>
          <w:b/>
          <w:sz w:val="24"/>
          <w:szCs w:val="24"/>
          <w:lang w:val="zh-CN"/>
        </w:rPr>
        <w:t>三公</w:t>
      </w:r>
      <w:r>
        <w:rPr>
          <w:rFonts w:ascii="Times New Roman" w:hAnsi="Times New Roman" w:eastAsia="Times New Roman"/>
          <w:b/>
          <w:sz w:val="24"/>
          <w:szCs w:val="24"/>
          <w:lang w:val="zh-CN"/>
        </w:rPr>
        <w:t>”</w:t>
      </w:r>
      <w:r>
        <w:rPr>
          <w:rFonts w:hint="eastAsia" w:ascii="宋体" w:hAnsi="宋体"/>
          <w:b/>
          <w:sz w:val="24"/>
          <w:szCs w:val="24"/>
          <w:lang w:val="zh-CN"/>
        </w:rPr>
        <w:t>经费财政拨款支出决算实物量情况</w:t>
      </w:r>
    </w:p>
    <w:p w14:paraId="402B69E5">
      <w:pPr>
        <w:spacing w:before="100" w:after="100"/>
        <w:ind w:firstLine="480" w:firstLineChars="200"/>
        <w:jc w:val="left"/>
        <w:rPr>
          <w:rFonts w:ascii="宋体" w:hAnsi="宋体"/>
          <w:sz w:val="24"/>
          <w:szCs w:val="24"/>
          <w:lang w:val="zh-CN"/>
        </w:rPr>
      </w:pPr>
      <w:r>
        <w:rPr>
          <w:rFonts w:hint="eastAsia" w:ascii="宋体" w:hAnsi="宋体"/>
          <w:sz w:val="24"/>
          <w:szCs w:val="24"/>
          <w:lang w:val="zh-CN"/>
        </w:rPr>
        <w:t>2022年度本部门</w:t>
      </w:r>
      <w:r>
        <w:rPr>
          <w:rFonts w:hint="eastAsia" w:ascii="宋体" w:hAnsi="宋体"/>
          <w:b/>
          <w:sz w:val="24"/>
          <w:szCs w:val="24"/>
          <w:lang w:val="zh-CN"/>
        </w:rPr>
        <w:t>因公出国(境)</w:t>
      </w:r>
      <w:r>
        <w:rPr>
          <w:rFonts w:hint="eastAsia" w:ascii="宋体" w:hAnsi="宋体"/>
          <w:sz w:val="24"/>
          <w:szCs w:val="24"/>
          <w:lang w:val="zh-CN"/>
        </w:rPr>
        <w:t>共计0个团组,0人；</w:t>
      </w:r>
      <w:r>
        <w:rPr>
          <w:rFonts w:hint="eastAsia" w:ascii="宋体" w:hAnsi="宋体"/>
          <w:b/>
          <w:sz w:val="24"/>
          <w:szCs w:val="24"/>
          <w:lang w:val="zh-CN"/>
        </w:rPr>
        <w:t>公务用车购置</w:t>
      </w:r>
      <w:r>
        <w:rPr>
          <w:rFonts w:hint="eastAsia" w:ascii="宋体" w:hAnsi="宋体"/>
          <w:sz w:val="24"/>
          <w:szCs w:val="24"/>
          <w:lang w:val="zh-CN"/>
        </w:rPr>
        <w:t>0辆,</w:t>
      </w:r>
      <w:r>
        <w:rPr>
          <w:rFonts w:hint="eastAsia" w:ascii="宋体" w:hAnsi="宋体"/>
          <w:b/>
          <w:sz w:val="24"/>
          <w:szCs w:val="24"/>
          <w:lang w:val="zh-CN"/>
        </w:rPr>
        <w:t>公务用车保有量</w:t>
      </w:r>
      <w:r>
        <w:rPr>
          <w:rFonts w:hint="eastAsia" w:ascii="宋体" w:hAnsi="宋体"/>
          <w:sz w:val="24"/>
          <w:szCs w:val="24"/>
          <w:lang w:val="zh-CN"/>
        </w:rPr>
        <w:t>为0辆；</w:t>
      </w:r>
      <w:r>
        <w:rPr>
          <w:rFonts w:hint="eastAsia" w:ascii="宋体" w:hAnsi="宋体"/>
          <w:b/>
          <w:sz w:val="24"/>
          <w:szCs w:val="24"/>
          <w:lang w:val="zh-CN"/>
        </w:rPr>
        <w:t>国内公务接待</w:t>
      </w:r>
      <w:r>
        <w:rPr>
          <w:rFonts w:hint="eastAsia" w:ascii="宋体" w:hAnsi="宋体"/>
          <w:sz w:val="24"/>
          <w:szCs w:val="24"/>
          <w:lang w:val="zh-CN"/>
        </w:rPr>
        <w:t>0批次0人,其中：</w:t>
      </w:r>
      <w:r>
        <w:rPr>
          <w:rFonts w:hint="eastAsia" w:ascii="宋体" w:hAnsi="宋体"/>
          <w:b/>
          <w:sz w:val="24"/>
          <w:szCs w:val="24"/>
          <w:lang w:val="zh-CN"/>
        </w:rPr>
        <w:t>外事接待</w:t>
      </w:r>
      <w:r>
        <w:rPr>
          <w:rFonts w:hint="eastAsia" w:ascii="宋体" w:hAnsi="宋体"/>
          <w:sz w:val="24"/>
          <w:szCs w:val="24"/>
          <w:lang w:val="zh-CN"/>
        </w:rPr>
        <w:t>0批次,0人；</w:t>
      </w:r>
      <w:r>
        <w:rPr>
          <w:rFonts w:hint="eastAsia" w:ascii="宋体" w:hAnsi="宋体"/>
          <w:b/>
          <w:sz w:val="24"/>
          <w:szCs w:val="24"/>
          <w:lang w:val="zh-CN"/>
        </w:rPr>
        <w:t>国(境)外公务接待</w:t>
      </w:r>
      <w:r>
        <w:rPr>
          <w:rFonts w:hint="eastAsia" w:ascii="宋体" w:hAnsi="宋体"/>
          <w:sz w:val="24"/>
          <w:szCs w:val="24"/>
          <w:lang w:val="zh-CN"/>
        </w:rPr>
        <w:t>0批次,0人。</w:t>
      </w:r>
    </w:p>
    <w:p w14:paraId="6D04C80A">
      <w:pPr>
        <w:spacing w:before="100" w:after="100"/>
        <w:jc w:val="center"/>
        <w:rPr>
          <w:rFonts w:ascii="宋体" w:hAnsi="宋体"/>
          <w:b/>
          <w:sz w:val="24"/>
          <w:szCs w:val="24"/>
          <w:lang w:val="zh-CN"/>
        </w:rPr>
      </w:pPr>
      <w:r>
        <w:rPr>
          <w:rFonts w:hint="eastAsia" w:ascii="宋体" w:hAnsi="宋体"/>
          <w:b/>
          <w:sz w:val="24"/>
          <w:szCs w:val="24"/>
          <w:lang w:val="zh-CN"/>
        </w:rPr>
        <w:t>第四部分预算绩效情况说明</w:t>
      </w:r>
    </w:p>
    <w:p w14:paraId="6A71A541">
      <w:pPr>
        <w:numPr>
          <w:ilvl w:val="0"/>
          <w:numId w:val="0"/>
        </w:numPr>
        <w:spacing w:before="100" w:after="100"/>
        <w:ind w:left="120" w:leftChars="0"/>
        <w:jc w:val="left"/>
        <w:rPr>
          <w:rFonts w:hint="eastAsia" w:ascii="宋体" w:hAnsi="宋体"/>
          <w:b/>
          <w:sz w:val="24"/>
          <w:szCs w:val="24"/>
          <w:lang w:val="zh-CN"/>
        </w:rPr>
      </w:pPr>
      <w:r>
        <w:rPr>
          <w:rFonts w:hint="eastAsia" w:ascii="宋体" w:hAnsi="宋体"/>
          <w:b/>
          <w:sz w:val="24"/>
          <w:szCs w:val="24"/>
          <w:lang w:val="en-US" w:eastAsia="zh-CN"/>
        </w:rPr>
        <w:t xml:space="preserve">   （一）</w:t>
      </w:r>
      <w:r>
        <w:rPr>
          <w:rFonts w:hint="eastAsia" w:ascii="宋体" w:hAnsi="宋体"/>
          <w:b/>
          <w:sz w:val="24"/>
          <w:szCs w:val="24"/>
          <w:lang w:val="zh-CN"/>
        </w:rPr>
        <w:t>预算绩效管理工作开展情况</w:t>
      </w:r>
    </w:p>
    <w:p w14:paraId="7F4927DB">
      <w:pPr>
        <w:spacing w:before="100" w:after="100"/>
        <w:ind w:firstLine="480" w:firstLineChars="200"/>
        <w:jc w:val="left"/>
        <w:rPr>
          <w:rFonts w:ascii="宋体" w:hAnsi="宋体" w:eastAsia="宋体"/>
          <w:color w:val="auto"/>
          <w:sz w:val="24"/>
          <w:szCs w:val="24"/>
          <w:lang w:val="zh-CN"/>
        </w:rPr>
      </w:pPr>
      <w:r>
        <w:rPr>
          <w:rFonts w:hint="eastAsia" w:ascii="宋体" w:hAnsi="宋体" w:eastAsia="宋体"/>
          <w:color w:val="auto"/>
          <w:sz w:val="24"/>
          <w:szCs w:val="24"/>
          <w:lang w:val="zh-CN"/>
        </w:rPr>
        <w:t>根据预算绩效管理要求,本部门2022年度一般公共预算项目支出0元,</w:t>
      </w:r>
      <w:r>
        <w:rPr>
          <w:rFonts w:ascii="宋体" w:hAnsi="宋体" w:eastAsia="宋体"/>
          <w:color w:val="auto"/>
          <w:sz w:val="24"/>
          <w:szCs w:val="24"/>
          <w:lang w:val="zh-CN"/>
        </w:rPr>
        <w:t xml:space="preserve"> 没有项目资金，不涉及项目自评。</w:t>
      </w:r>
      <w:r>
        <w:rPr>
          <w:rFonts w:hint="eastAsia" w:ascii="宋体" w:hAnsi="宋体" w:eastAsia="宋体"/>
          <w:color w:val="auto"/>
          <w:sz w:val="24"/>
          <w:szCs w:val="24"/>
          <w:lang w:val="zh-CN"/>
        </w:rPr>
        <w:t>2022年我单位整体绩效目标完成良好，基本支出预算执行率为100%，项目支出预算执行率、三公经费空置率及结转结余变动率实际完成值均符合年度指标值范围；财务管理制度健全，完成100%，资金能够正确规范的使用；政府采购和资产管理严格规范；一些重点管理工作管理制度健全；基本完成甘肃省白龙江林业保护中心考核指标，圆满完成各项工作任务。</w:t>
      </w:r>
    </w:p>
    <w:p w14:paraId="1B728FE4">
      <w:pPr>
        <w:spacing w:before="100" w:after="100"/>
        <w:ind w:firstLine="482" w:firstLineChars="200"/>
        <w:jc w:val="left"/>
        <w:rPr>
          <w:rFonts w:ascii="宋体" w:hAnsi="宋体"/>
          <w:sz w:val="24"/>
          <w:szCs w:val="24"/>
          <w:lang w:val="zh-CN"/>
        </w:rPr>
      </w:pPr>
      <w:r>
        <w:rPr>
          <w:rFonts w:hint="eastAsia" w:ascii="宋体" w:hAnsi="宋体"/>
          <w:b/>
          <w:sz w:val="24"/>
          <w:szCs w:val="24"/>
          <w:lang w:val="zh-CN"/>
        </w:rPr>
        <w:t>(二)绩效自评结果</w:t>
      </w:r>
    </w:p>
    <w:p w14:paraId="0E5F22D9">
      <w:pPr>
        <w:keepNext/>
        <w:keepLines/>
        <w:suppressLineNumbers/>
        <w:ind w:firstLine="480" w:firstLineChars="200"/>
        <w:jc w:val="left"/>
        <w:rPr>
          <w:rFonts w:hint="eastAsia" w:ascii="宋体" w:hAnsi="宋体" w:eastAsia="宋体"/>
          <w:sz w:val="24"/>
          <w:szCs w:val="24"/>
          <w:lang w:val="zh-CN" w:eastAsia="zh-CN"/>
        </w:rPr>
      </w:pPr>
      <w:r>
        <w:rPr>
          <w:rFonts w:hint="eastAsia" w:ascii="宋体" w:hAnsi="宋体"/>
          <w:color w:val="000000"/>
          <w:kern w:val="0"/>
          <w:sz w:val="24"/>
          <w:szCs w:val="24"/>
        </w:rPr>
        <w:t>我部门在2022年度部门决算中反</w:t>
      </w:r>
      <w:r>
        <w:rPr>
          <w:rFonts w:hint="eastAsia" w:ascii="宋体" w:hAnsi="宋体"/>
          <w:color w:val="auto"/>
          <w:kern w:val="0"/>
          <w:sz w:val="24"/>
          <w:szCs w:val="24"/>
        </w:rPr>
        <w:t>映</w:t>
      </w:r>
      <w:r>
        <w:rPr>
          <w:rFonts w:hint="eastAsia" w:ascii="宋体" w:hAnsi="宋体"/>
          <w:color w:val="auto"/>
          <w:kern w:val="0"/>
          <w:sz w:val="24"/>
          <w:szCs w:val="24"/>
          <w:lang w:eastAsia="zh-CN"/>
        </w:rPr>
        <w:t>我单位无项目支出</w:t>
      </w:r>
      <w:r>
        <w:rPr>
          <w:rFonts w:hint="eastAsia" w:ascii="宋体" w:hAnsi="宋体"/>
          <w:color w:val="000000"/>
          <w:kern w:val="0"/>
          <w:sz w:val="24"/>
          <w:szCs w:val="24"/>
        </w:rPr>
        <w:t>。</w:t>
      </w:r>
      <w:r>
        <w:rPr>
          <w:rFonts w:hint="eastAsia" w:ascii="宋体" w:hAnsi="宋体"/>
          <w:color w:val="000000"/>
          <w:kern w:val="0"/>
          <w:sz w:val="24"/>
          <w:szCs w:val="24"/>
          <w:lang w:eastAsia="zh-CN"/>
        </w:rPr>
        <w:t>部门整体支出各方面表现优秀，</w:t>
      </w:r>
      <w:r>
        <w:rPr>
          <w:rFonts w:hint="eastAsia" w:ascii="宋体" w:hAnsi="宋体"/>
          <w:color w:val="000000"/>
          <w:kern w:val="0"/>
          <w:sz w:val="24"/>
          <w:szCs w:val="24"/>
        </w:rPr>
        <w:t>下一步</w:t>
      </w:r>
      <w:r>
        <w:rPr>
          <w:rFonts w:hint="eastAsia" w:ascii="宋体" w:hAnsi="宋体"/>
          <w:color w:val="000000"/>
          <w:kern w:val="0"/>
          <w:sz w:val="24"/>
          <w:szCs w:val="24"/>
          <w:lang w:eastAsia="zh-CN"/>
        </w:rPr>
        <w:t>我们将继续努力为白龙江林区的发展贡献更大力量。（</w:t>
      </w:r>
      <w:r>
        <w:rPr>
          <w:rFonts w:hint="eastAsia" w:ascii="宋体" w:hAnsi="宋体"/>
          <w:color w:val="000000"/>
          <w:kern w:val="0"/>
          <w:sz w:val="24"/>
          <w:szCs w:val="24"/>
          <w:lang w:val="en-US" w:eastAsia="zh-CN"/>
        </w:rPr>
        <w:t>详见下表</w:t>
      </w:r>
      <w:r>
        <w:rPr>
          <w:rFonts w:hint="eastAsia" w:ascii="宋体" w:hAnsi="宋体"/>
          <w:color w:val="000000"/>
          <w:kern w:val="0"/>
          <w:sz w:val="24"/>
          <w:szCs w:val="24"/>
          <w:lang w:eastAsia="zh-CN"/>
        </w:rPr>
        <w:t>）</w:t>
      </w:r>
    </w:p>
    <w:p w14:paraId="1CE88086">
      <w:pPr>
        <w:spacing w:before="100" w:after="100"/>
        <w:ind w:firstLine="482" w:firstLineChars="200"/>
        <w:jc w:val="left"/>
        <w:rPr>
          <w:rFonts w:ascii="宋体" w:hAnsi="宋体"/>
          <w:sz w:val="24"/>
          <w:szCs w:val="24"/>
          <w:lang w:val="zh-CN"/>
        </w:rPr>
      </w:pPr>
      <w:r>
        <w:rPr>
          <w:rFonts w:hint="eastAsia" w:ascii="宋体" w:hAnsi="宋体"/>
          <w:b/>
          <w:sz w:val="24"/>
          <w:szCs w:val="24"/>
          <w:lang w:val="zh-CN"/>
        </w:rPr>
        <w:t>(三)部门绩效评价结果</w:t>
      </w:r>
    </w:p>
    <w:p w14:paraId="0807D47C">
      <w:pPr>
        <w:keepNext/>
        <w:keepLines/>
        <w:suppressLineNumbers/>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本单位未委托第三方对部门政策、重点绩效评价。</w:t>
      </w:r>
    </w:p>
    <w:p w14:paraId="72E96B95">
      <w:pPr>
        <w:spacing w:before="100" w:after="100"/>
        <w:jc w:val="left"/>
        <w:rPr>
          <w:rFonts w:hint="eastAsia" w:ascii="宋体" w:hAnsi="宋体"/>
          <w:sz w:val="24"/>
          <w:szCs w:val="24"/>
        </w:rPr>
      </w:pPr>
    </w:p>
    <w:p w14:paraId="52876545">
      <w:pPr>
        <w:spacing w:before="100" w:after="100"/>
        <w:jc w:val="left"/>
        <w:rPr>
          <w:rFonts w:hint="eastAsia" w:ascii="宋体" w:hAnsi="宋体"/>
          <w:sz w:val="24"/>
          <w:szCs w:val="24"/>
        </w:rPr>
      </w:pPr>
    </w:p>
    <w:tbl>
      <w:tblPr>
        <w:tblStyle w:val="3"/>
        <w:tblW w:w="0" w:type="auto"/>
        <w:tblInd w:w="93" w:type="dxa"/>
        <w:tblLayout w:type="autofit"/>
        <w:tblCellMar>
          <w:top w:w="0" w:type="dxa"/>
          <w:left w:w="108" w:type="dxa"/>
          <w:bottom w:w="0" w:type="dxa"/>
          <w:right w:w="108" w:type="dxa"/>
        </w:tblCellMar>
      </w:tblPr>
      <w:tblGrid>
        <w:gridCol w:w="2136"/>
        <w:gridCol w:w="962"/>
        <w:gridCol w:w="992"/>
        <w:gridCol w:w="1038"/>
        <w:gridCol w:w="930"/>
        <w:gridCol w:w="1062"/>
        <w:gridCol w:w="707"/>
        <w:gridCol w:w="468"/>
        <w:gridCol w:w="468"/>
      </w:tblGrid>
      <w:tr w14:paraId="0668D4F6">
        <w:tblPrEx>
          <w:tblCellMar>
            <w:top w:w="0" w:type="dxa"/>
            <w:left w:w="108" w:type="dxa"/>
            <w:bottom w:w="0" w:type="dxa"/>
            <w:right w:w="108" w:type="dxa"/>
          </w:tblCellMar>
        </w:tblPrEx>
        <w:trPr>
          <w:trHeight w:val="1069" w:hRule="atLeast"/>
        </w:trPr>
        <w:tc>
          <w:tcPr>
            <w:tcW w:w="0" w:type="auto"/>
            <w:gridSpan w:val="9"/>
            <w:tcBorders>
              <w:top w:val="nil"/>
              <w:left w:val="nil"/>
              <w:bottom w:val="nil"/>
              <w:right w:val="nil"/>
            </w:tcBorders>
            <w:shd w:val="clear" w:color="auto" w:fill="auto"/>
            <w:vAlign w:val="center"/>
          </w:tcPr>
          <w:p w14:paraId="51FAE401">
            <w:pPr>
              <w:jc w:val="center"/>
              <w:rPr>
                <w:rFonts w:ascii="宋体" w:hAnsi="宋体" w:cs="Arial"/>
                <w:b/>
                <w:bCs/>
                <w:color w:val="000000"/>
                <w:kern w:val="0"/>
                <w:sz w:val="36"/>
                <w:szCs w:val="36"/>
              </w:rPr>
            </w:pPr>
            <w:r>
              <w:rPr>
                <w:rFonts w:hint="eastAsia" w:ascii="宋体" w:hAnsi="宋体" w:cs="Arial"/>
                <w:b/>
                <w:bCs/>
                <w:color w:val="000000"/>
                <w:kern w:val="0"/>
                <w:sz w:val="36"/>
                <w:szCs w:val="36"/>
              </w:rPr>
              <w:t>2022年度部门（单位）整体支出绩效自评表</w:t>
            </w:r>
          </w:p>
        </w:tc>
      </w:tr>
      <w:tr w14:paraId="3054731F">
        <w:tblPrEx>
          <w:tblCellMar>
            <w:top w:w="0" w:type="dxa"/>
            <w:left w:w="108" w:type="dxa"/>
            <w:bottom w:w="0" w:type="dxa"/>
            <w:right w:w="108" w:type="dxa"/>
          </w:tblCellMar>
        </w:tblPrEx>
        <w:trPr>
          <w:trHeight w:val="469" w:hRule="atLeast"/>
        </w:trPr>
        <w:tc>
          <w:tcPr>
            <w:tcW w:w="0" w:type="auto"/>
            <w:tcBorders>
              <w:top w:val="single" w:color="auto" w:sz="4" w:space="0"/>
              <w:left w:val="single" w:color="auto" w:sz="4" w:space="0"/>
              <w:bottom w:val="nil"/>
              <w:right w:val="single" w:color="auto" w:sz="4" w:space="0"/>
            </w:tcBorders>
            <w:shd w:val="clear" w:color="auto" w:fill="auto"/>
            <w:vAlign w:val="center"/>
          </w:tcPr>
          <w:p w14:paraId="4C3BBA20">
            <w:pPr>
              <w:jc w:val="center"/>
              <w:rPr>
                <w:rFonts w:ascii="宋体" w:hAnsi="宋体" w:cs="Arial"/>
                <w:b/>
                <w:bCs/>
                <w:color w:val="000000"/>
                <w:kern w:val="0"/>
                <w:sz w:val="22"/>
                <w:szCs w:val="22"/>
              </w:rPr>
            </w:pPr>
            <w:r>
              <w:rPr>
                <w:rFonts w:hint="eastAsia" w:ascii="宋体" w:hAnsi="宋体" w:cs="Arial"/>
                <w:b/>
                <w:bCs/>
                <w:color w:val="000000"/>
                <w:kern w:val="0"/>
                <w:sz w:val="22"/>
                <w:szCs w:val="22"/>
              </w:rPr>
              <w:t>部门（单位）名称</w:t>
            </w:r>
          </w:p>
        </w:tc>
        <w:tc>
          <w:tcPr>
            <w:tcW w:w="0" w:type="auto"/>
            <w:gridSpan w:val="8"/>
            <w:tcBorders>
              <w:top w:val="single" w:color="auto" w:sz="4" w:space="0"/>
              <w:left w:val="nil"/>
              <w:bottom w:val="single" w:color="auto" w:sz="4" w:space="0"/>
              <w:right w:val="single" w:color="auto" w:sz="4" w:space="0"/>
            </w:tcBorders>
            <w:shd w:val="clear" w:color="auto" w:fill="auto"/>
            <w:vAlign w:val="center"/>
          </w:tcPr>
          <w:p w14:paraId="4BADE7A4">
            <w:pPr>
              <w:jc w:val="center"/>
              <w:rPr>
                <w:rFonts w:ascii="宋体" w:hAnsi="宋体" w:cs="Arial"/>
                <w:color w:val="000000"/>
                <w:kern w:val="0"/>
                <w:sz w:val="22"/>
                <w:szCs w:val="22"/>
              </w:rPr>
            </w:pPr>
            <w:r>
              <w:rPr>
                <w:rFonts w:hint="eastAsia" w:ascii="宋体" w:hAnsi="宋体" w:cs="Arial"/>
                <w:color w:val="000000"/>
                <w:kern w:val="0"/>
                <w:sz w:val="22"/>
                <w:szCs w:val="22"/>
              </w:rPr>
              <w:t>甘肃省白龙江林业管理局职工宣教中心【事二】</w:t>
            </w:r>
          </w:p>
        </w:tc>
      </w:tr>
      <w:tr w14:paraId="5F91E341">
        <w:tblPrEx>
          <w:tblCellMar>
            <w:top w:w="0" w:type="dxa"/>
            <w:left w:w="108" w:type="dxa"/>
            <w:bottom w:w="0" w:type="dxa"/>
            <w:right w:w="108" w:type="dxa"/>
          </w:tblCellMar>
        </w:tblPrEx>
        <w:trPr>
          <w:trHeight w:val="469" w:hRule="atLeast"/>
        </w:trPr>
        <w:tc>
          <w:tcPr>
            <w:tcW w:w="0" w:type="auto"/>
            <w:vMerge w:val="restart"/>
            <w:tcBorders>
              <w:top w:val="single" w:color="auto" w:sz="4" w:space="0"/>
              <w:left w:val="nil"/>
              <w:bottom w:val="single" w:color="auto" w:sz="4" w:space="0"/>
              <w:right w:val="nil"/>
            </w:tcBorders>
            <w:shd w:val="clear" w:color="auto" w:fill="auto"/>
            <w:noWrap/>
            <w:vAlign w:val="center"/>
          </w:tcPr>
          <w:p w14:paraId="2EA06F8D">
            <w:pPr>
              <w:jc w:val="center"/>
              <w:rPr>
                <w:rFonts w:ascii="宋体" w:hAnsi="宋体" w:cs="Arial"/>
                <w:b/>
                <w:bCs/>
                <w:kern w:val="0"/>
                <w:sz w:val="22"/>
                <w:szCs w:val="22"/>
              </w:rPr>
            </w:pPr>
            <w:r>
              <w:rPr>
                <w:rFonts w:hint="eastAsia" w:ascii="宋体" w:hAnsi="宋体" w:cs="Arial"/>
                <w:b/>
                <w:bCs/>
                <w:kern w:val="0"/>
                <w:sz w:val="22"/>
                <w:szCs w:val="22"/>
              </w:rPr>
              <w:t>年度资金预算情况</w:t>
            </w:r>
          </w:p>
        </w:tc>
        <w:tc>
          <w:tcPr>
            <w:tcW w:w="0" w:type="auto"/>
            <w:tcBorders>
              <w:top w:val="nil"/>
              <w:left w:val="nil"/>
              <w:bottom w:val="single" w:color="auto" w:sz="4" w:space="0"/>
              <w:right w:val="single" w:color="auto" w:sz="4" w:space="0"/>
            </w:tcBorders>
            <w:shd w:val="clear" w:color="auto" w:fill="auto"/>
            <w:vAlign w:val="center"/>
          </w:tcPr>
          <w:p w14:paraId="54313DBA">
            <w:pPr>
              <w:jc w:val="center"/>
              <w:rPr>
                <w:rFonts w:ascii="宋体" w:hAnsi="宋体" w:cs="Arial"/>
                <w:b/>
                <w:bCs/>
                <w:color w:val="000000"/>
                <w:kern w:val="0"/>
                <w:sz w:val="22"/>
                <w:szCs w:val="22"/>
              </w:rPr>
            </w:pPr>
            <w:r>
              <w:rPr>
                <w:rFonts w:hint="eastAsia" w:ascii="宋体" w:hAnsi="宋体" w:cs="Arial"/>
                <w:b/>
                <w:bCs/>
                <w:color w:val="000000"/>
                <w:kern w:val="0"/>
                <w:sz w:val="22"/>
                <w:szCs w:val="22"/>
              </w:rPr>
              <w:t>部门（单位）整体支出</w:t>
            </w:r>
          </w:p>
        </w:tc>
        <w:tc>
          <w:tcPr>
            <w:tcW w:w="0" w:type="auto"/>
            <w:tcBorders>
              <w:top w:val="nil"/>
              <w:left w:val="nil"/>
              <w:bottom w:val="single" w:color="auto" w:sz="4" w:space="0"/>
              <w:right w:val="single" w:color="auto" w:sz="4" w:space="0"/>
            </w:tcBorders>
            <w:shd w:val="clear" w:color="auto" w:fill="auto"/>
            <w:vAlign w:val="center"/>
          </w:tcPr>
          <w:p w14:paraId="45D7474D">
            <w:pPr>
              <w:jc w:val="center"/>
              <w:rPr>
                <w:rFonts w:ascii="宋体" w:hAnsi="宋体" w:cs="Arial"/>
                <w:b/>
                <w:bCs/>
                <w:color w:val="000000"/>
                <w:kern w:val="0"/>
                <w:sz w:val="22"/>
                <w:szCs w:val="22"/>
              </w:rPr>
            </w:pPr>
            <w:r>
              <w:rPr>
                <w:rFonts w:hint="eastAsia" w:ascii="宋体" w:hAnsi="宋体" w:cs="Arial"/>
                <w:b/>
                <w:bCs/>
                <w:color w:val="000000"/>
                <w:kern w:val="0"/>
                <w:sz w:val="22"/>
                <w:szCs w:val="22"/>
              </w:rPr>
              <w:t>年初预算数（万元）</w:t>
            </w:r>
          </w:p>
        </w:tc>
        <w:tc>
          <w:tcPr>
            <w:tcW w:w="0" w:type="auto"/>
            <w:tcBorders>
              <w:top w:val="nil"/>
              <w:left w:val="nil"/>
              <w:bottom w:val="single" w:color="auto" w:sz="4" w:space="0"/>
              <w:right w:val="single" w:color="auto" w:sz="4" w:space="0"/>
            </w:tcBorders>
            <w:shd w:val="clear" w:color="auto" w:fill="auto"/>
            <w:vAlign w:val="center"/>
          </w:tcPr>
          <w:p w14:paraId="005EAEFC">
            <w:pPr>
              <w:jc w:val="center"/>
              <w:rPr>
                <w:rFonts w:ascii="宋体" w:hAnsi="宋体" w:cs="Arial"/>
                <w:b/>
                <w:bCs/>
                <w:color w:val="000000"/>
                <w:kern w:val="0"/>
                <w:sz w:val="22"/>
                <w:szCs w:val="22"/>
              </w:rPr>
            </w:pPr>
            <w:r>
              <w:rPr>
                <w:rFonts w:hint="eastAsia" w:ascii="宋体" w:hAnsi="宋体" w:cs="Arial"/>
                <w:b/>
                <w:bCs/>
                <w:color w:val="000000"/>
                <w:kern w:val="0"/>
                <w:sz w:val="22"/>
                <w:szCs w:val="22"/>
              </w:rPr>
              <w:t>全年预算数（万元）</w:t>
            </w:r>
          </w:p>
        </w:tc>
        <w:tc>
          <w:tcPr>
            <w:tcW w:w="0" w:type="auto"/>
            <w:tcBorders>
              <w:top w:val="nil"/>
              <w:left w:val="nil"/>
              <w:bottom w:val="single" w:color="auto" w:sz="4" w:space="0"/>
              <w:right w:val="single" w:color="auto" w:sz="4" w:space="0"/>
            </w:tcBorders>
            <w:shd w:val="clear" w:color="auto" w:fill="auto"/>
            <w:vAlign w:val="center"/>
          </w:tcPr>
          <w:p w14:paraId="6E6E8180">
            <w:pPr>
              <w:jc w:val="center"/>
              <w:rPr>
                <w:rFonts w:ascii="宋体" w:hAnsi="宋体" w:cs="Arial"/>
                <w:b/>
                <w:bCs/>
                <w:color w:val="000000"/>
                <w:kern w:val="0"/>
                <w:sz w:val="22"/>
                <w:szCs w:val="22"/>
              </w:rPr>
            </w:pPr>
            <w:r>
              <w:rPr>
                <w:rFonts w:hint="eastAsia" w:ascii="宋体" w:hAnsi="宋体" w:cs="Arial"/>
                <w:b/>
                <w:bCs/>
                <w:color w:val="000000"/>
                <w:kern w:val="0"/>
                <w:sz w:val="22"/>
                <w:szCs w:val="22"/>
              </w:rPr>
              <w:t>实际支出数（万元）</w:t>
            </w:r>
          </w:p>
        </w:tc>
        <w:tc>
          <w:tcPr>
            <w:tcW w:w="0" w:type="auto"/>
            <w:tcBorders>
              <w:top w:val="nil"/>
              <w:left w:val="nil"/>
              <w:bottom w:val="single" w:color="auto" w:sz="4" w:space="0"/>
              <w:right w:val="single" w:color="auto" w:sz="4" w:space="0"/>
            </w:tcBorders>
            <w:shd w:val="clear" w:color="auto" w:fill="auto"/>
            <w:vAlign w:val="center"/>
          </w:tcPr>
          <w:p w14:paraId="700C828D">
            <w:pPr>
              <w:jc w:val="center"/>
              <w:rPr>
                <w:rFonts w:ascii="宋体" w:hAnsi="宋体" w:cs="Arial"/>
                <w:b/>
                <w:bCs/>
                <w:color w:val="000000"/>
                <w:kern w:val="0"/>
                <w:sz w:val="22"/>
                <w:szCs w:val="22"/>
              </w:rPr>
            </w:pPr>
            <w:r>
              <w:rPr>
                <w:rFonts w:hint="eastAsia" w:ascii="宋体" w:hAnsi="宋体" w:cs="Arial"/>
                <w:b/>
                <w:bCs/>
                <w:color w:val="000000"/>
                <w:kern w:val="0"/>
                <w:sz w:val="22"/>
                <w:szCs w:val="22"/>
              </w:rPr>
              <w:t>执行率</w:t>
            </w:r>
          </w:p>
        </w:tc>
        <w:tc>
          <w:tcPr>
            <w:tcW w:w="0" w:type="auto"/>
            <w:tcBorders>
              <w:top w:val="nil"/>
              <w:left w:val="nil"/>
              <w:bottom w:val="single" w:color="auto" w:sz="4" w:space="0"/>
              <w:right w:val="single" w:color="auto" w:sz="4" w:space="0"/>
            </w:tcBorders>
            <w:shd w:val="clear" w:color="auto" w:fill="auto"/>
            <w:vAlign w:val="center"/>
          </w:tcPr>
          <w:p w14:paraId="3FA85772">
            <w:pPr>
              <w:jc w:val="center"/>
              <w:rPr>
                <w:rFonts w:ascii="宋体" w:hAnsi="宋体" w:cs="Arial"/>
                <w:b/>
                <w:bCs/>
                <w:color w:val="000000"/>
                <w:kern w:val="0"/>
                <w:sz w:val="22"/>
                <w:szCs w:val="22"/>
              </w:rPr>
            </w:pPr>
            <w:r>
              <w:rPr>
                <w:rFonts w:hint="eastAsia" w:ascii="宋体" w:hAnsi="宋体" w:cs="Arial"/>
                <w:b/>
                <w:bCs/>
                <w:color w:val="000000"/>
                <w:kern w:val="0"/>
                <w:sz w:val="22"/>
                <w:szCs w:val="22"/>
              </w:rPr>
              <w:t>分值</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025A6546">
            <w:pPr>
              <w:jc w:val="center"/>
              <w:rPr>
                <w:rFonts w:ascii="宋体" w:hAnsi="宋体" w:cs="Arial"/>
                <w:b/>
                <w:bCs/>
                <w:kern w:val="0"/>
                <w:sz w:val="22"/>
                <w:szCs w:val="22"/>
              </w:rPr>
            </w:pPr>
            <w:r>
              <w:rPr>
                <w:rFonts w:hint="eastAsia" w:ascii="宋体" w:hAnsi="宋体" w:cs="Arial"/>
                <w:b/>
                <w:bCs/>
                <w:kern w:val="0"/>
                <w:sz w:val="22"/>
                <w:szCs w:val="22"/>
              </w:rPr>
              <w:t>得分</w:t>
            </w:r>
          </w:p>
        </w:tc>
      </w:tr>
      <w:tr w14:paraId="2755765F">
        <w:tblPrEx>
          <w:tblCellMar>
            <w:top w:w="0" w:type="dxa"/>
            <w:left w:w="108" w:type="dxa"/>
            <w:bottom w:w="0" w:type="dxa"/>
            <w:right w:w="108" w:type="dxa"/>
          </w:tblCellMar>
        </w:tblPrEx>
        <w:trPr>
          <w:trHeight w:val="469" w:hRule="atLeast"/>
        </w:trPr>
        <w:tc>
          <w:tcPr>
            <w:tcW w:w="0" w:type="auto"/>
            <w:vMerge w:val="continue"/>
            <w:tcBorders>
              <w:top w:val="single" w:color="auto" w:sz="4" w:space="0"/>
              <w:left w:val="nil"/>
              <w:bottom w:val="single" w:color="auto" w:sz="4" w:space="0"/>
              <w:right w:val="nil"/>
            </w:tcBorders>
            <w:vAlign w:val="center"/>
          </w:tcPr>
          <w:p w14:paraId="4507614E">
            <w:pPr>
              <w:jc w:val="left"/>
              <w:rPr>
                <w:rFonts w:ascii="宋体" w:hAnsi="宋体" w:cs="Arial"/>
                <w:b/>
                <w:bCs/>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0DF44F98">
            <w:pPr>
              <w:jc w:val="left"/>
              <w:rPr>
                <w:rFonts w:ascii="宋体" w:hAnsi="宋体" w:cs="Arial"/>
                <w:color w:val="000000"/>
                <w:kern w:val="0"/>
                <w:sz w:val="22"/>
                <w:szCs w:val="22"/>
              </w:rPr>
            </w:pPr>
            <w:r>
              <w:rPr>
                <w:rFonts w:hint="eastAsia" w:ascii="宋体" w:hAnsi="宋体" w:cs="Arial"/>
                <w:color w:val="000000"/>
                <w:kern w:val="0"/>
                <w:sz w:val="22"/>
                <w:szCs w:val="22"/>
              </w:rPr>
              <w:t>全年支出</w:t>
            </w:r>
          </w:p>
        </w:tc>
        <w:tc>
          <w:tcPr>
            <w:tcW w:w="0" w:type="auto"/>
            <w:tcBorders>
              <w:top w:val="nil"/>
              <w:left w:val="nil"/>
              <w:bottom w:val="single" w:color="auto" w:sz="4" w:space="0"/>
              <w:right w:val="single" w:color="auto" w:sz="4" w:space="0"/>
            </w:tcBorders>
            <w:shd w:val="clear" w:color="auto" w:fill="auto"/>
            <w:vAlign w:val="center"/>
          </w:tcPr>
          <w:p w14:paraId="1CAE0BDD">
            <w:pPr>
              <w:jc w:val="left"/>
              <w:rPr>
                <w:rFonts w:ascii="宋体" w:hAnsi="宋体" w:cs="Arial"/>
                <w:color w:val="000000"/>
                <w:kern w:val="0"/>
                <w:sz w:val="22"/>
                <w:szCs w:val="22"/>
              </w:rPr>
            </w:pPr>
            <w:r>
              <w:rPr>
                <w:rFonts w:hint="eastAsia" w:ascii="宋体" w:hAnsi="宋体" w:cs="Arial"/>
                <w:color w:val="000000"/>
                <w:kern w:val="0"/>
                <w:sz w:val="22"/>
                <w:szCs w:val="22"/>
              </w:rPr>
              <w:t>253</w:t>
            </w:r>
          </w:p>
        </w:tc>
        <w:tc>
          <w:tcPr>
            <w:tcW w:w="0" w:type="auto"/>
            <w:tcBorders>
              <w:top w:val="nil"/>
              <w:left w:val="nil"/>
              <w:bottom w:val="single" w:color="auto" w:sz="4" w:space="0"/>
              <w:right w:val="single" w:color="auto" w:sz="4" w:space="0"/>
            </w:tcBorders>
            <w:shd w:val="clear" w:color="auto" w:fill="auto"/>
            <w:vAlign w:val="center"/>
          </w:tcPr>
          <w:p w14:paraId="5231311E">
            <w:pPr>
              <w:jc w:val="left"/>
              <w:rPr>
                <w:rFonts w:ascii="宋体" w:hAnsi="宋体" w:cs="Arial"/>
                <w:color w:val="000000"/>
                <w:kern w:val="0"/>
                <w:sz w:val="22"/>
                <w:szCs w:val="22"/>
              </w:rPr>
            </w:pPr>
            <w:r>
              <w:rPr>
                <w:rFonts w:hint="eastAsia" w:ascii="宋体" w:hAnsi="宋体" w:cs="Arial"/>
                <w:color w:val="000000"/>
                <w:kern w:val="0"/>
                <w:sz w:val="22"/>
                <w:szCs w:val="22"/>
              </w:rPr>
              <w:t>253</w:t>
            </w:r>
          </w:p>
        </w:tc>
        <w:tc>
          <w:tcPr>
            <w:tcW w:w="0" w:type="auto"/>
            <w:tcBorders>
              <w:top w:val="nil"/>
              <w:left w:val="nil"/>
              <w:bottom w:val="single" w:color="auto" w:sz="4" w:space="0"/>
              <w:right w:val="single" w:color="auto" w:sz="4" w:space="0"/>
            </w:tcBorders>
            <w:shd w:val="clear" w:color="auto" w:fill="auto"/>
            <w:vAlign w:val="center"/>
          </w:tcPr>
          <w:p w14:paraId="4586C10D">
            <w:pPr>
              <w:jc w:val="left"/>
              <w:rPr>
                <w:rFonts w:ascii="宋体" w:hAnsi="宋体" w:cs="Arial"/>
                <w:color w:val="000000"/>
                <w:kern w:val="0"/>
                <w:sz w:val="22"/>
                <w:szCs w:val="22"/>
              </w:rPr>
            </w:pPr>
            <w:r>
              <w:rPr>
                <w:rFonts w:hint="eastAsia" w:ascii="宋体" w:hAnsi="宋体" w:cs="Arial"/>
                <w:color w:val="000000"/>
                <w:kern w:val="0"/>
                <w:sz w:val="22"/>
                <w:szCs w:val="22"/>
              </w:rPr>
              <w:t>253</w:t>
            </w:r>
          </w:p>
        </w:tc>
        <w:tc>
          <w:tcPr>
            <w:tcW w:w="0" w:type="auto"/>
            <w:tcBorders>
              <w:top w:val="nil"/>
              <w:left w:val="nil"/>
              <w:bottom w:val="single" w:color="auto" w:sz="4" w:space="0"/>
              <w:right w:val="single" w:color="auto" w:sz="4" w:space="0"/>
            </w:tcBorders>
            <w:shd w:val="clear" w:color="auto" w:fill="auto"/>
            <w:vAlign w:val="center"/>
          </w:tcPr>
          <w:p w14:paraId="77F4C7A3">
            <w:pPr>
              <w:jc w:val="left"/>
              <w:rPr>
                <w:rFonts w:ascii="宋体" w:hAnsi="宋体" w:cs="Arial"/>
                <w:color w:val="000000"/>
                <w:kern w:val="0"/>
                <w:sz w:val="22"/>
                <w:szCs w:val="22"/>
              </w:rPr>
            </w:pPr>
            <w:r>
              <w:rPr>
                <w:rFonts w:hint="eastAsia" w:ascii="宋体" w:hAnsi="宋体" w:cs="Arial"/>
                <w:color w:val="000000"/>
                <w:kern w:val="0"/>
                <w:sz w:val="22"/>
                <w:szCs w:val="22"/>
              </w:rPr>
              <w:t>100.00%</w:t>
            </w:r>
          </w:p>
        </w:tc>
        <w:tc>
          <w:tcPr>
            <w:tcW w:w="0" w:type="auto"/>
            <w:tcBorders>
              <w:top w:val="nil"/>
              <w:left w:val="nil"/>
              <w:bottom w:val="single" w:color="auto" w:sz="4" w:space="0"/>
              <w:right w:val="single" w:color="auto" w:sz="4" w:space="0"/>
            </w:tcBorders>
            <w:shd w:val="clear" w:color="auto" w:fill="auto"/>
            <w:vAlign w:val="center"/>
          </w:tcPr>
          <w:p w14:paraId="5908A940">
            <w:pPr>
              <w:jc w:val="left"/>
              <w:rPr>
                <w:rFonts w:ascii="宋体" w:hAnsi="宋体" w:cs="Arial"/>
                <w:color w:val="000000"/>
                <w:kern w:val="0"/>
                <w:sz w:val="22"/>
                <w:szCs w:val="22"/>
              </w:rPr>
            </w:pPr>
            <w:r>
              <w:rPr>
                <w:rFonts w:hint="eastAsia" w:ascii="宋体" w:hAnsi="宋体" w:cs="Arial"/>
                <w:color w:val="000000"/>
                <w:kern w:val="0"/>
                <w:sz w:val="22"/>
                <w:szCs w:val="22"/>
              </w:rPr>
              <w:t>10</w:t>
            </w:r>
          </w:p>
        </w:tc>
        <w:tc>
          <w:tcPr>
            <w:tcW w:w="0" w:type="auto"/>
            <w:gridSpan w:val="2"/>
            <w:tcBorders>
              <w:top w:val="single" w:color="auto" w:sz="4" w:space="0"/>
              <w:left w:val="nil"/>
              <w:bottom w:val="nil"/>
              <w:right w:val="single" w:color="000000" w:sz="4" w:space="0"/>
            </w:tcBorders>
            <w:shd w:val="clear" w:color="auto" w:fill="auto"/>
            <w:vAlign w:val="center"/>
          </w:tcPr>
          <w:p w14:paraId="7408942D">
            <w:pPr>
              <w:jc w:val="center"/>
              <w:rPr>
                <w:rFonts w:ascii="宋体" w:hAnsi="宋体" w:cs="Arial"/>
                <w:color w:val="000000"/>
                <w:kern w:val="0"/>
                <w:sz w:val="22"/>
                <w:szCs w:val="22"/>
              </w:rPr>
            </w:pPr>
            <w:r>
              <w:rPr>
                <w:rFonts w:hint="eastAsia" w:ascii="宋体" w:hAnsi="宋体" w:cs="Arial"/>
                <w:color w:val="000000"/>
                <w:kern w:val="0"/>
                <w:sz w:val="22"/>
                <w:szCs w:val="22"/>
              </w:rPr>
              <w:t>10.00</w:t>
            </w:r>
          </w:p>
        </w:tc>
      </w:tr>
      <w:tr w14:paraId="575A52E4">
        <w:tblPrEx>
          <w:tblCellMar>
            <w:top w:w="0" w:type="dxa"/>
            <w:left w:w="108" w:type="dxa"/>
            <w:bottom w:w="0" w:type="dxa"/>
            <w:right w:w="108" w:type="dxa"/>
          </w:tblCellMar>
        </w:tblPrEx>
        <w:trPr>
          <w:trHeight w:val="469" w:hRule="atLeast"/>
        </w:trPr>
        <w:tc>
          <w:tcPr>
            <w:tcW w:w="0" w:type="auto"/>
            <w:vMerge w:val="continue"/>
            <w:tcBorders>
              <w:top w:val="single" w:color="auto" w:sz="4" w:space="0"/>
              <w:left w:val="nil"/>
              <w:bottom w:val="single" w:color="auto" w:sz="4" w:space="0"/>
              <w:right w:val="nil"/>
            </w:tcBorders>
            <w:vAlign w:val="center"/>
          </w:tcPr>
          <w:p w14:paraId="52BBE0F1">
            <w:pPr>
              <w:jc w:val="left"/>
              <w:rPr>
                <w:rFonts w:ascii="宋体" w:hAnsi="宋体" w:cs="Arial"/>
                <w:b/>
                <w:bCs/>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43E64EE7">
            <w:pPr>
              <w:jc w:val="left"/>
              <w:rPr>
                <w:rFonts w:ascii="宋体" w:hAnsi="宋体" w:cs="Arial"/>
                <w:color w:val="000000"/>
                <w:kern w:val="0"/>
                <w:sz w:val="22"/>
                <w:szCs w:val="22"/>
              </w:rPr>
            </w:pPr>
            <w:r>
              <w:rPr>
                <w:rFonts w:hint="eastAsia" w:ascii="宋体" w:hAnsi="宋体" w:cs="Arial"/>
                <w:color w:val="000000"/>
                <w:kern w:val="0"/>
                <w:sz w:val="22"/>
                <w:szCs w:val="22"/>
              </w:rPr>
              <w:t>其中：基本支出</w:t>
            </w:r>
          </w:p>
        </w:tc>
        <w:tc>
          <w:tcPr>
            <w:tcW w:w="0" w:type="auto"/>
            <w:tcBorders>
              <w:top w:val="nil"/>
              <w:left w:val="nil"/>
              <w:bottom w:val="single" w:color="auto" w:sz="4" w:space="0"/>
              <w:right w:val="single" w:color="auto" w:sz="4" w:space="0"/>
            </w:tcBorders>
            <w:shd w:val="clear" w:color="auto" w:fill="auto"/>
            <w:vAlign w:val="center"/>
          </w:tcPr>
          <w:p w14:paraId="4018FF50">
            <w:pPr>
              <w:jc w:val="left"/>
              <w:rPr>
                <w:rFonts w:ascii="宋体" w:hAnsi="宋体" w:cs="Arial"/>
                <w:color w:val="000000"/>
                <w:kern w:val="0"/>
                <w:sz w:val="22"/>
                <w:szCs w:val="22"/>
              </w:rPr>
            </w:pPr>
            <w:r>
              <w:rPr>
                <w:rFonts w:hint="eastAsia" w:ascii="宋体" w:hAnsi="宋体" w:cs="Arial"/>
                <w:color w:val="000000"/>
                <w:kern w:val="0"/>
                <w:sz w:val="22"/>
                <w:szCs w:val="22"/>
              </w:rPr>
              <w:t>253</w:t>
            </w:r>
          </w:p>
        </w:tc>
        <w:tc>
          <w:tcPr>
            <w:tcW w:w="0" w:type="auto"/>
            <w:tcBorders>
              <w:top w:val="nil"/>
              <w:left w:val="nil"/>
              <w:bottom w:val="single" w:color="auto" w:sz="4" w:space="0"/>
              <w:right w:val="single" w:color="auto" w:sz="4" w:space="0"/>
            </w:tcBorders>
            <w:shd w:val="clear" w:color="auto" w:fill="auto"/>
            <w:vAlign w:val="center"/>
          </w:tcPr>
          <w:p w14:paraId="52D334AF">
            <w:pPr>
              <w:jc w:val="left"/>
              <w:rPr>
                <w:rFonts w:ascii="宋体" w:hAnsi="宋体" w:cs="Arial"/>
                <w:color w:val="000000"/>
                <w:kern w:val="0"/>
                <w:sz w:val="22"/>
                <w:szCs w:val="22"/>
              </w:rPr>
            </w:pPr>
            <w:r>
              <w:rPr>
                <w:rFonts w:hint="eastAsia" w:ascii="宋体" w:hAnsi="宋体" w:cs="Arial"/>
                <w:color w:val="000000"/>
                <w:kern w:val="0"/>
                <w:sz w:val="22"/>
                <w:szCs w:val="22"/>
              </w:rPr>
              <w:t>253</w:t>
            </w:r>
          </w:p>
        </w:tc>
        <w:tc>
          <w:tcPr>
            <w:tcW w:w="0" w:type="auto"/>
            <w:tcBorders>
              <w:top w:val="nil"/>
              <w:left w:val="nil"/>
              <w:bottom w:val="single" w:color="auto" w:sz="4" w:space="0"/>
              <w:right w:val="single" w:color="auto" w:sz="4" w:space="0"/>
            </w:tcBorders>
            <w:shd w:val="clear" w:color="auto" w:fill="auto"/>
            <w:vAlign w:val="center"/>
          </w:tcPr>
          <w:p w14:paraId="5BA1E7D9">
            <w:pPr>
              <w:jc w:val="left"/>
              <w:rPr>
                <w:rFonts w:ascii="宋体" w:hAnsi="宋体" w:cs="Arial"/>
                <w:color w:val="000000"/>
                <w:kern w:val="0"/>
                <w:sz w:val="22"/>
                <w:szCs w:val="22"/>
              </w:rPr>
            </w:pPr>
            <w:r>
              <w:rPr>
                <w:rFonts w:hint="eastAsia" w:ascii="宋体" w:hAnsi="宋体" w:cs="Arial"/>
                <w:color w:val="000000"/>
                <w:kern w:val="0"/>
                <w:sz w:val="22"/>
                <w:szCs w:val="22"/>
              </w:rPr>
              <w:t>253</w:t>
            </w:r>
          </w:p>
        </w:tc>
        <w:tc>
          <w:tcPr>
            <w:tcW w:w="0" w:type="auto"/>
            <w:tcBorders>
              <w:top w:val="nil"/>
              <w:left w:val="nil"/>
              <w:bottom w:val="single" w:color="auto" w:sz="4" w:space="0"/>
              <w:right w:val="single" w:color="auto" w:sz="4" w:space="0"/>
            </w:tcBorders>
            <w:shd w:val="clear" w:color="auto" w:fill="auto"/>
            <w:vAlign w:val="center"/>
          </w:tcPr>
          <w:p w14:paraId="61E81E5E">
            <w:pPr>
              <w:jc w:val="left"/>
              <w:rPr>
                <w:rFonts w:ascii="宋体" w:hAnsi="宋体" w:cs="Arial"/>
                <w:color w:val="000000"/>
                <w:kern w:val="0"/>
                <w:sz w:val="22"/>
                <w:szCs w:val="22"/>
              </w:rPr>
            </w:pPr>
            <w:r>
              <w:rPr>
                <w:rFonts w:hint="eastAsia" w:ascii="宋体" w:hAnsi="宋体" w:cs="Arial"/>
                <w:color w:val="000000"/>
                <w:kern w:val="0"/>
                <w:sz w:val="22"/>
                <w:szCs w:val="22"/>
              </w:rPr>
              <w:t>100.00%</w:t>
            </w:r>
          </w:p>
        </w:tc>
        <w:tc>
          <w:tcPr>
            <w:tcW w:w="0" w:type="auto"/>
            <w:tcBorders>
              <w:top w:val="nil"/>
              <w:left w:val="nil"/>
              <w:bottom w:val="single" w:color="auto" w:sz="4" w:space="0"/>
              <w:right w:val="single" w:color="auto" w:sz="4" w:space="0"/>
            </w:tcBorders>
            <w:shd w:val="clear" w:color="auto" w:fill="auto"/>
            <w:vAlign w:val="center"/>
          </w:tcPr>
          <w:p w14:paraId="7330F998">
            <w:pPr>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0" w:type="auto"/>
            <w:gridSpan w:val="2"/>
            <w:tcBorders>
              <w:top w:val="single" w:color="auto" w:sz="4" w:space="0"/>
              <w:left w:val="nil"/>
              <w:bottom w:val="nil"/>
              <w:right w:val="single" w:color="000000" w:sz="4" w:space="0"/>
            </w:tcBorders>
            <w:shd w:val="clear" w:color="auto" w:fill="auto"/>
            <w:vAlign w:val="center"/>
          </w:tcPr>
          <w:p w14:paraId="1C6730DC">
            <w:pPr>
              <w:jc w:val="center"/>
              <w:rPr>
                <w:rFonts w:ascii="宋体" w:hAnsi="宋体" w:cs="Arial"/>
                <w:color w:val="000000"/>
                <w:kern w:val="0"/>
                <w:sz w:val="22"/>
                <w:szCs w:val="22"/>
              </w:rPr>
            </w:pPr>
            <w:r>
              <w:rPr>
                <w:rFonts w:hint="eastAsia" w:ascii="宋体" w:hAnsi="宋体" w:cs="Arial"/>
                <w:color w:val="000000"/>
                <w:kern w:val="0"/>
                <w:sz w:val="22"/>
                <w:szCs w:val="22"/>
              </w:rPr>
              <w:t>10.00</w:t>
            </w:r>
          </w:p>
        </w:tc>
      </w:tr>
      <w:tr w14:paraId="39758AA7">
        <w:tblPrEx>
          <w:tblCellMar>
            <w:top w:w="0" w:type="dxa"/>
            <w:left w:w="108" w:type="dxa"/>
            <w:bottom w:w="0" w:type="dxa"/>
            <w:right w:w="108" w:type="dxa"/>
          </w:tblCellMar>
        </w:tblPrEx>
        <w:trPr>
          <w:trHeight w:val="469" w:hRule="atLeast"/>
        </w:trPr>
        <w:tc>
          <w:tcPr>
            <w:tcW w:w="0" w:type="auto"/>
            <w:vMerge w:val="continue"/>
            <w:tcBorders>
              <w:top w:val="single" w:color="auto" w:sz="4" w:space="0"/>
              <w:left w:val="nil"/>
              <w:bottom w:val="single" w:color="auto" w:sz="4" w:space="0"/>
              <w:right w:val="nil"/>
            </w:tcBorders>
            <w:vAlign w:val="center"/>
          </w:tcPr>
          <w:p w14:paraId="2D4097E2">
            <w:pPr>
              <w:jc w:val="left"/>
              <w:rPr>
                <w:rFonts w:ascii="宋体" w:hAnsi="宋体" w:cs="Arial"/>
                <w:b/>
                <w:bCs/>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4DAC0B98">
            <w:pPr>
              <w:jc w:val="left"/>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0" w:type="auto"/>
            <w:tcBorders>
              <w:top w:val="nil"/>
              <w:left w:val="nil"/>
              <w:bottom w:val="single" w:color="auto" w:sz="4" w:space="0"/>
              <w:right w:val="single" w:color="auto" w:sz="4" w:space="0"/>
            </w:tcBorders>
            <w:shd w:val="clear" w:color="auto" w:fill="auto"/>
            <w:vAlign w:val="center"/>
          </w:tcPr>
          <w:p w14:paraId="4AAD99AF">
            <w:pPr>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66B5284A">
            <w:pPr>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0201F691">
            <w:pPr>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0B761BE9">
            <w:pPr>
              <w:jc w:val="left"/>
              <w:rPr>
                <w:rFonts w:ascii="宋体" w:hAnsi="宋体" w:cs="Arial"/>
                <w:color w:val="000000"/>
                <w:kern w:val="0"/>
                <w:sz w:val="22"/>
                <w:szCs w:val="22"/>
              </w:rPr>
            </w:pPr>
            <w:r>
              <w:rPr>
                <w:rFonts w:hint="eastAsia" w:ascii="宋体" w:hAnsi="宋体" w:cs="Arial"/>
                <w:color w:val="000000"/>
                <w:kern w:val="0"/>
                <w:sz w:val="22"/>
                <w:szCs w:val="22"/>
              </w:rPr>
              <w:t>NaN%</w:t>
            </w:r>
          </w:p>
        </w:tc>
        <w:tc>
          <w:tcPr>
            <w:tcW w:w="0" w:type="auto"/>
            <w:tcBorders>
              <w:top w:val="nil"/>
              <w:left w:val="nil"/>
              <w:bottom w:val="single" w:color="auto" w:sz="4" w:space="0"/>
              <w:right w:val="single" w:color="auto" w:sz="4" w:space="0"/>
            </w:tcBorders>
            <w:shd w:val="clear" w:color="auto" w:fill="auto"/>
            <w:vAlign w:val="center"/>
          </w:tcPr>
          <w:p w14:paraId="33FC0BE6">
            <w:pPr>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0" w:type="auto"/>
            <w:gridSpan w:val="2"/>
            <w:tcBorders>
              <w:top w:val="single" w:color="auto" w:sz="4" w:space="0"/>
              <w:left w:val="nil"/>
              <w:bottom w:val="nil"/>
              <w:right w:val="single" w:color="000000" w:sz="4" w:space="0"/>
            </w:tcBorders>
            <w:shd w:val="clear" w:color="auto" w:fill="auto"/>
            <w:vAlign w:val="center"/>
          </w:tcPr>
          <w:p w14:paraId="6A65588D">
            <w:pPr>
              <w:jc w:val="center"/>
              <w:rPr>
                <w:rFonts w:ascii="宋体" w:hAnsi="宋体" w:cs="Arial"/>
                <w:color w:val="000000"/>
                <w:kern w:val="0"/>
                <w:sz w:val="22"/>
                <w:szCs w:val="22"/>
              </w:rPr>
            </w:pPr>
            <w:r>
              <w:rPr>
                <w:rFonts w:hint="eastAsia" w:ascii="宋体" w:hAnsi="宋体" w:cs="Arial"/>
                <w:color w:val="000000"/>
                <w:kern w:val="0"/>
                <w:sz w:val="22"/>
                <w:szCs w:val="22"/>
              </w:rPr>
              <w:t>10.00</w:t>
            </w:r>
          </w:p>
        </w:tc>
      </w:tr>
      <w:tr w14:paraId="69905D49">
        <w:tblPrEx>
          <w:tblCellMar>
            <w:top w:w="0" w:type="dxa"/>
            <w:left w:w="108" w:type="dxa"/>
            <w:bottom w:w="0" w:type="dxa"/>
            <w:right w:w="108" w:type="dxa"/>
          </w:tblCellMar>
        </w:tblPrEx>
        <w:trPr>
          <w:trHeight w:val="60" w:hRule="atLeast"/>
        </w:trPr>
        <w:tc>
          <w:tcPr>
            <w:tcW w:w="0" w:type="auto"/>
            <w:tcBorders>
              <w:top w:val="nil"/>
              <w:left w:val="nil"/>
              <w:bottom w:val="nil"/>
              <w:right w:val="nil"/>
            </w:tcBorders>
            <w:shd w:val="clear" w:color="auto" w:fill="auto"/>
            <w:noWrap/>
            <w:vAlign w:val="center"/>
          </w:tcPr>
          <w:p w14:paraId="1FD11BBB">
            <w:pPr>
              <w:jc w:val="center"/>
              <w:rPr>
                <w:rFonts w:ascii="宋体" w:hAnsi="宋体" w:cs="Arial"/>
                <w:b/>
                <w:bCs/>
                <w:kern w:val="0"/>
                <w:sz w:val="22"/>
                <w:szCs w:val="22"/>
              </w:rPr>
            </w:pPr>
          </w:p>
        </w:tc>
        <w:tc>
          <w:tcPr>
            <w:tcW w:w="0" w:type="auto"/>
            <w:tcBorders>
              <w:top w:val="nil"/>
              <w:left w:val="nil"/>
              <w:bottom w:val="nil"/>
              <w:right w:val="nil"/>
            </w:tcBorders>
            <w:shd w:val="clear" w:color="auto" w:fill="auto"/>
            <w:noWrap/>
            <w:vAlign w:val="bottom"/>
          </w:tcPr>
          <w:p w14:paraId="1474D5F3">
            <w:pPr>
              <w:jc w:val="left"/>
              <w:rPr>
                <w:rFonts w:ascii="Arial" w:hAnsi="Arial" w:cs="Arial"/>
                <w:kern w:val="0"/>
                <w:sz w:val="20"/>
              </w:rPr>
            </w:pPr>
          </w:p>
        </w:tc>
        <w:tc>
          <w:tcPr>
            <w:tcW w:w="0" w:type="auto"/>
            <w:tcBorders>
              <w:top w:val="nil"/>
              <w:left w:val="nil"/>
              <w:bottom w:val="nil"/>
              <w:right w:val="nil"/>
            </w:tcBorders>
            <w:shd w:val="clear" w:color="auto" w:fill="auto"/>
            <w:noWrap/>
            <w:vAlign w:val="bottom"/>
          </w:tcPr>
          <w:p w14:paraId="686CD82A">
            <w:pPr>
              <w:jc w:val="left"/>
              <w:rPr>
                <w:rFonts w:ascii="Arial" w:hAnsi="Arial" w:cs="Arial"/>
                <w:kern w:val="0"/>
                <w:sz w:val="20"/>
              </w:rPr>
            </w:pPr>
          </w:p>
        </w:tc>
        <w:tc>
          <w:tcPr>
            <w:tcW w:w="0" w:type="auto"/>
            <w:tcBorders>
              <w:top w:val="nil"/>
              <w:left w:val="nil"/>
              <w:bottom w:val="nil"/>
              <w:right w:val="nil"/>
            </w:tcBorders>
            <w:shd w:val="clear" w:color="auto" w:fill="auto"/>
            <w:noWrap/>
            <w:vAlign w:val="bottom"/>
          </w:tcPr>
          <w:p w14:paraId="4AD5FBFA">
            <w:pPr>
              <w:jc w:val="left"/>
              <w:rPr>
                <w:rFonts w:ascii="Arial" w:hAnsi="Arial" w:cs="Arial"/>
                <w:kern w:val="0"/>
                <w:sz w:val="20"/>
              </w:rPr>
            </w:pPr>
          </w:p>
        </w:tc>
        <w:tc>
          <w:tcPr>
            <w:tcW w:w="0" w:type="auto"/>
            <w:tcBorders>
              <w:top w:val="nil"/>
              <w:left w:val="nil"/>
              <w:bottom w:val="nil"/>
              <w:right w:val="nil"/>
            </w:tcBorders>
            <w:shd w:val="clear" w:color="auto" w:fill="auto"/>
            <w:noWrap/>
            <w:vAlign w:val="bottom"/>
          </w:tcPr>
          <w:p w14:paraId="4EAB7E64">
            <w:pPr>
              <w:jc w:val="left"/>
              <w:rPr>
                <w:rFonts w:ascii="Arial" w:hAnsi="Arial" w:cs="Arial"/>
                <w:kern w:val="0"/>
                <w:sz w:val="20"/>
              </w:rPr>
            </w:pPr>
          </w:p>
        </w:tc>
        <w:tc>
          <w:tcPr>
            <w:tcW w:w="0" w:type="auto"/>
            <w:tcBorders>
              <w:top w:val="nil"/>
              <w:left w:val="nil"/>
              <w:bottom w:val="nil"/>
              <w:right w:val="nil"/>
            </w:tcBorders>
            <w:shd w:val="clear" w:color="auto" w:fill="auto"/>
            <w:noWrap/>
            <w:vAlign w:val="bottom"/>
          </w:tcPr>
          <w:p w14:paraId="7C400CA2">
            <w:pPr>
              <w:jc w:val="left"/>
              <w:rPr>
                <w:rFonts w:ascii="Arial" w:hAnsi="Arial" w:cs="Arial"/>
                <w:kern w:val="0"/>
                <w:sz w:val="20"/>
              </w:rPr>
            </w:pPr>
          </w:p>
        </w:tc>
        <w:tc>
          <w:tcPr>
            <w:tcW w:w="0" w:type="auto"/>
            <w:tcBorders>
              <w:top w:val="nil"/>
              <w:left w:val="nil"/>
              <w:bottom w:val="nil"/>
              <w:right w:val="nil"/>
            </w:tcBorders>
            <w:shd w:val="clear" w:color="auto" w:fill="auto"/>
            <w:noWrap/>
            <w:vAlign w:val="bottom"/>
          </w:tcPr>
          <w:p w14:paraId="6A5BE3D2">
            <w:pPr>
              <w:jc w:val="left"/>
              <w:rPr>
                <w:rFonts w:ascii="Arial" w:hAnsi="Arial" w:cs="Arial"/>
                <w:kern w:val="0"/>
                <w:sz w:val="20"/>
              </w:rPr>
            </w:pPr>
          </w:p>
        </w:tc>
        <w:tc>
          <w:tcPr>
            <w:tcW w:w="0" w:type="auto"/>
            <w:tcBorders>
              <w:top w:val="nil"/>
              <w:left w:val="nil"/>
              <w:bottom w:val="nil"/>
              <w:right w:val="nil"/>
            </w:tcBorders>
            <w:shd w:val="clear" w:color="auto" w:fill="auto"/>
            <w:noWrap/>
            <w:vAlign w:val="bottom"/>
          </w:tcPr>
          <w:p w14:paraId="02841FE2">
            <w:pPr>
              <w:jc w:val="left"/>
              <w:rPr>
                <w:rFonts w:ascii="Arial" w:hAnsi="Arial" w:cs="Arial"/>
                <w:kern w:val="0"/>
                <w:sz w:val="20"/>
              </w:rPr>
            </w:pPr>
          </w:p>
        </w:tc>
        <w:tc>
          <w:tcPr>
            <w:tcW w:w="0" w:type="auto"/>
            <w:tcBorders>
              <w:top w:val="nil"/>
              <w:left w:val="nil"/>
              <w:bottom w:val="nil"/>
              <w:right w:val="nil"/>
            </w:tcBorders>
            <w:shd w:val="clear" w:color="auto" w:fill="auto"/>
            <w:vAlign w:val="center"/>
          </w:tcPr>
          <w:p w14:paraId="33A3632A">
            <w:pPr>
              <w:jc w:val="center"/>
              <w:rPr>
                <w:rFonts w:ascii="宋体" w:hAnsi="宋体" w:cs="Arial"/>
                <w:color w:val="000000"/>
                <w:kern w:val="0"/>
                <w:sz w:val="22"/>
                <w:szCs w:val="22"/>
              </w:rPr>
            </w:pPr>
          </w:p>
        </w:tc>
      </w:tr>
      <w:tr w14:paraId="21C21261">
        <w:tblPrEx>
          <w:tblCellMar>
            <w:top w:w="0" w:type="dxa"/>
            <w:left w:w="108" w:type="dxa"/>
            <w:bottom w:w="0" w:type="dxa"/>
            <w:right w:w="108" w:type="dxa"/>
          </w:tblCellMar>
        </w:tblPrEx>
        <w:trPr>
          <w:trHeight w:val="60" w:hRule="atLeast"/>
        </w:trPr>
        <w:tc>
          <w:tcPr>
            <w:tcW w:w="0" w:type="auto"/>
            <w:tcBorders>
              <w:top w:val="nil"/>
              <w:left w:val="nil"/>
              <w:bottom w:val="nil"/>
              <w:right w:val="nil"/>
            </w:tcBorders>
            <w:shd w:val="clear" w:color="auto" w:fill="auto"/>
            <w:noWrap/>
            <w:vAlign w:val="center"/>
          </w:tcPr>
          <w:p w14:paraId="77113E79">
            <w:pPr>
              <w:jc w:val="center"/>
              <w:rPr>
                <w:rFonts w:ascii="宋体" w:hAnsi="宋体" w:cs="Arial"/>
                <w:b/>
                <w:bCs/>
                <w:kern w:val="0"/>
                <w:sz w:val="22"/>
                <w:szCs w:val="22"/>
              </w:rPr>
            </w:pPr>
          </w:p>
        </w:tc>
        <w:tc>
          <w:tcPr>
            <w:tcW w:w="0" w:type="auto"/>
            <w:tcBorders>
              <w:top w:val="nil"/>
              <w:left w:val="nil"/>
              <w:bottom w:val="nil"/>
              <w:right w:val="nil"/>
            </w:tcBorders>
            <w:shd w:val="clear" w:color="auto" w:fill="auto"/>
            <w:noWrap/>
            <w:vAlign w:val="bottom"/>
          </w:tcPr>
          <w:p w14:paraId="43B09201">
            <w:pPr>
              <w:jc w:val="left"/>
              <w:rPr>
                <w:rFonts w:ascii="Arial" w:hAnsi="Arial" w:cs="Arial"/>
                <w:kern w:val="0"/>
                <w:sz w:val="20"/>
              </w:rPr>
            </w:pPr>
          </w:p>
        </w:tc>
        <w:tc>
          <w:tcPr>
            <w:tcW w:w="0" w:type="auto"/>
            <w:tcBorders>
              <w:top w:val="nil"/>
              <w:left w:val="nil"/>
              <w:bottom w:val="nil"/>
              <w:right w:val="nil"/>
            </w:tcBorders>
            <w:shd w:val="clear" w:color="auto" w:fill="auto"/>
            <w:noWrap/>
            <w:vAlign w:val="bottom"/>
          </w:tcPr>
          <w:p w14:paraId="2021B850">
            <w:pPr>
              <w:jc w:val="left"/>
              <w:rPr>
                <w:rFonts w:ascii="Arial" w:hAnsi="Arial" w:cs="Arial"/>
                <w:kern w:val="0"/>
                <w:sz w:val="20"/>
              </w:rPr>
            </w:pPr>
          </w:p>
        </w:tc>
        <w:tc>
          <w:tcPr>
            <w:tcW w:w="0" w:type="auto"/>
            <w:tcBorders>
              <w:top w:val="nil"/>
              <w:left w:val="nil"/>
              <w:bottom w:val="nil"/>
              <w:right w:val="nil"/>
            </w:tcBorders>
            <w:shd w:val="clear" w:color="auto" w:fill="auto"/>
            <w:noWrap/>
            <w:vAlign w:val="bottom"/>
          </w:tcPr>
          <w:p w14:paraId="44417D53">
            <w:pPr>
              <w:jc w:val="left"/>
              <w:rPr>
                <w:rFonts w:ascii="Arial" w:hAnsi="Arial" w:cs="Arial"/>
                <w:kern w:val="0"/>
                <w:sz w:val="20"/>
              </w:rPr>
            </w:pPr>
          </w:p>
        </w:tc>
        <w:tc>
          <w:tcPr>
            <w:tcW w:w="0" w:type="auto"/>
            <w:tcBorders>
              <w:top w:val="nil"/>
              <w:left w:val="nil"/>
              <w:bottom w:val="nil"/>
              <w:right w:val="nil"/>
            </w:tcBorders>
            <w:shd w:val="clear" w:color="auto" w:fill="auto"/>
            <w:noWrap/>
            <w:vAlign w:val="bottom"/>
          </w:tcPr>
          <w:p w14:paraId="0F661D35">
            <w:pPr>
              <w:jc w:val="left"/>
              <w:rPr>
                <w:rFonts w:ascii="Arial" w:hAnsi="Arial" w:cs="Arial"/>
                <w:kern w:val="0"/>
                <w:sz w:val="20"/>
              </w:rPr>
            </w:pPr>
          </w:p>
        </w:tc>
        <w:tc>
          <w:tcPr>
            <w:tcW w:w="0" w:type="auto"/>
            <w:tcBorders>
              <w:top w:val="nil"/>
              <w:left w:val="nil"/>
              <w:bottom w:val="nil"/>
              <w:right w:val="nil"/>
            </w:tcBorders>
            <w:shd w:val="clear" w:color="auto" w:fill="auto"/>
            <w:noWrap/>
            <w:vAlign w:val="bottom"/>
          </w:tcPr>
          <w:p w14:paraId="15D7A8A8">
            <w:pPr>
              <w:jc w:val="left"/>
              <w:rPr>
                <w:rFonts w:ascii="Arial" w:hAnsi="Arial" w:cs="Arial"/>
                <w:kern w:val="0"/>
                <w:sz w:val="20"/>
              </w:rPr>
            </w:pPr>
          </w:p>
        </w:tc>
        <w:tc>
          <w:tcPr>
            <w:tcW w:w="0" w:type="auto"/>
            <w:tcBorders>
              <w:top w:val="nil"/>
              <w:left w:val="nil"/>
              <w:bottom w:val="nil"/>
              <w:right w:val="nil"/>
            </w:tcBorders>
            <w:shd w:val="clear" w:color="auto" w:fill="auto"/>
            <w:noWrap/>
            <w:vAlign w:val="bottom"/>
          </w:tcPr>
          <w:p w14:paraId="34AB4487">
            <w:pPr>
              <w:jc w:val="left"/>
              <w:rPr>
                <w:rFonts w:ascii="Arial" w:hAnsi="Arial" w:cs="Arial"/>
                <w:kern w:val="0"/>
                <w:sz w:val="20"/>
              </w:rPr>
            </w:pPr>
          </w:p>
        </w:tc>
        <w:tc>
          <w:tcPr>
            <w:tcW w:w="0" w:type="auto"/>
            <w:tcBorders>
              <w:top w:val="nil"/>
              <w:left w:val="nil"/>
              <w:bottom w:val="nil"/>
              <w:right w:val="nil"/>
            </w:tcBorders>
            <w:shd w:val="clear" w:color="auto" w:fill="auto"/>
            <w:noWrap/>
            <w:vAlign w:val="bottom"/>
          </w:tcPr>
          <w:p w14:paraId="38F26064">
            <w:pPr>
              <w:jc w:val="left"/>
              <w:rPr>
                <w:rFonts w:ascii="Arial" w:hAnsi="Arial" w:cs="Arial"/>
                <w:kern w:val="0"/>
                <w:sz w:val="20"/>
              </w:rPr>
            </w:pPr>
          </w:p>
        </w:tc>
        <w:tc>
          <w:tcPr>
            <w:tcW w:w="0" w:type="auto"/>
            <w:tcBorders>
              <w:top w:val="nil"/>
              <w:left w:val="nil"/>
              <w:bottom w:val="nil"/>
              <w:right w:val="nil"/>
            </w:tcBorders>
            <w:shd w:val="clear" w:color="auto" w:fill="auto"/>
            <w:vAlign w:val="center"/>
          </w:tcPr>
          <w:p w14:paraId="707DA359">
            <w:pPr>
              <w:jc w:val="center"/>
              <w:rPr>
                <w:rFonts w:ascii="宋体" w:hAnsi="宋体" w:cs="Arial"/>
                <w:color w:val="000000"/>
                <w:kern w:val="0"/>
                <w:sz w:val="22"/>
                <w:szCs w:val="22"/>
              </w:rPr>
            </w:pPr>
          </w:p>
        </w:tc>
      </w:tr>
      <w:tr w14:paraId="1EC9BA15">
        <w:tblPrEx>
          <w:tblCellMar>
            <w:top w:w="0" w:type="dxa"/>
            <w:left w:w="108" w:type="dxa"/>
            <w:bottom w:w="0" w:type="dxa"/>
            <w:right w:w="108" w:type="dxa"/>
          </w:tblCellMar>
        </w:tblPrEx>
        <w:trPr>
          <w:trHeight w:val="57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4C6A3329">
            <w:pPr>
              <w:jc w:val="center"/>
              <w:rPr>
                <w:rFonts w:ascii="宋体" w:hAnsi="宋体" w:cs="Arial"/>
                <w:b/>
                <w:bCs/>
                <w:color w:val="000000"/>
                <w:kern w:val="0"/>
                <w:sz w:val="22"/>
                <w:szCs w:val="22"/>
              </w:rPr>
            </w:pPr>
            <w:r>
              <w:rPr>
                <w:rFonts w:hint="eastAsia" w:ascii="宋体" w:hAnsi="宋体" w:cs="Arial"/>
                <w:b/>
                <w:bCs/>
                <w:color w:val="000000"/>
                <w:kern w:val="0"/>
                <w:sz w:val="22"/>
                <w:szCs w:val="22"/>
              </w:rPr>
              <w:t>年度总体绩效目标</w:t>
            </w:r>
            <w:r>
              <w:rPr>
                <w:rFonts w:hint="eastAsia" w:ascii="宋体" w:hAnsi="宋体" w:cs="Arial"/>
                <w:b/>
                <w:bCs/>
                <w:color w:val="000000"/>
                <w:kern w:val="0"/>
                <w:sz w:val="22"/>
                <w:szCs w:val="22"/>
              </w:rPr>
              <w:br w:type="textWrapping"/>
            </w:r>
            <w:r>
              <w:rPr>
                <w:rFonts w:hint="eastAsia" w:ascii="宋体" w:hAnsi="宋体" w:cs="Arial"/>
                <w:b/>
                <w:bCs/>
                <w:color w:val="000000"/>
                <w:kern w:val="0"/>
                <w:sz w:val="22"/>
                <w:szCs w:val="22"/>
              </w:rPr>
              <w:t>完成情况</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14:paraId="4A74C8F6">
            <w:pPr>
              <w:jc w:val="center"/>
              <w:rPr>
                <w:rFonts w:ascii="宋体" w:hAnsi="宋体" w:cs="Arial"/>
                <w:b/>
                <w:bCs/>
                <w:color w:val="000000"/>
                <w:kern w:val="0"/>
                <w:sz w:val="22"/>
                <w:szCs w:val="22"/>
              </w:rPr>
            </w:pPr>
            <w:r>
              <w:rPr>
                <w:rFonts w:hint="eastAsia" w:ascii="宋体" w:hAnsi="宋体" w:cs="Arial"/>
                <w:b/>
                <w:bCs/>
                <w:color w:val="000000"/>
                <w:kern w:val="0"/>
                <w:sz w:val="22"/>
                <w:szCs w:val="22"/>
              </w:rPr>
              <w:t>预期目标</w:t>
            </w:r>
          </w:p>
        </w:tc>
        <w:tc>
          <w:tcPr>
            <w:tcW w:w="0" w:type="auto"/>
            <w:gridSpan w:val="5"/>
            <w:tcBorders>
              <w:top w:val="single" w:color="auto" w:sz="4" w:space="0"/>
              <w:left w:val="nil"/>
              <w:bottom w:val="single" w:color="auto" w:sz="4" w:space="0"/>
              <w:right w:val="single" w:color="auto" w:sz="4" w:space="0"/>
            </w:tcBorders>
            <w:shd w:val="clear" w:color="auto" w:fill="auto"/>
            <w:vAlign w:val="center"/>
          </w:tcPr>
          <w:p w14:paraId="33259FC4">
            <w:pPr>
              <w:jc w:val="center"/>
              <w:rPr>
                <w:rFonts w:ascii="宋体" w:hAnsi="宋体" w:cs="Arial"/>
                <w:b/>
                <w:bCs/>
                <w:color w:val="000000"/>
                <w:kern w:val="0"/>
                <w:sz w:val="22"/>
                <w:szCs w:val="22"/>
              </w:rPr>
            </w:pPr>
            <w:r>
              <w:rPr>
                <w:rFonts w:hint="eastAsia" w:ascii="宋体" w:hAnsi="宋体" w:cs="Arial"/>
                <w:b/>
                <w:bCs/>
                <w:color w:val="000000"/>
                <w:kern w:val="0"/>
                <w:sz w:val="22"/>
                <w:szCs w:val="22"/>
              </w:rPr>
              <w:t>目标实际完成情况</w:t>
            </w:r>
          </w:p>
        </w:tc>
      </w:tr>
      <w:tr w14:paraId="175B490F">
        <w:tblPrEx>
          <w:tblCellMar>
            <w:top w:w="0" w:type="dxa"/>
            <w:left w:w="108" w:type="dxa"/>
            <w:bottom w:w="0" w:type="dxa"/>
            <w:right w:w="108" w:type="dxa"/>
          </w:tblCellMar>
        </w:tblPrEx>
        <w:trPr>
          <w:trHeight w:val="1133" w:hRule="atLeast"/>
        </w:trPr>
        <w:tc>
          <w:tcPr>
            <w:tcW w:w="0" w:type="auto"/>
            <w:vMerge w:val="continue"/>
            <w:tcBorders>
              <w:top w:val="nil"/>
              <w:left w:val="single" w:color="auto" w:sz="4" w:space="0"/>
              <w:bottom w:val="single" w:color="auto" w:sz="4" w:space="0"/>
              <w:right w:val="single" w:color="auto" w:sz="4" w:space="0"/>
            </w:tcBorders>
            <w:vAlign w:val="center"/>
          </w:tcPr>
          <w:p w14:paraId="095B04D0">
            <w:pPr>
              <w:jc w:val="left"/>
              <w:rPr>
                <w:rFonts w:ascii="宋体" w:hAnsi="宋体" w:cs="Arial"/>
                <w:b/>
                <w:bCs/>
                <w:color w:val="000000"/>
                <w:kern w:val="0"/>
                <w:sz w:val="22"/>
                <w:szCs w:val="22"/>
              </w:rPr>
            </w:pP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14:paraId="2E2E4511">
            <w:pPr>
              <w:jc w:val="left"/>
              <w:rPr>
                <w:rFonts w:ascii="宋体" w:hAnsi="宋体" w:cs="Arial"/>
                <w:color w:val="000000"/>
                <w:kern w:val="0"/>
                <w:sz w:val="22"/>
                <w:szCs w:val="22"/>
              </w:rPr>
            </w:pPr>
            <w:r>
              <w:rPr>
                <w:rFonts w:hint="eastAsia" w:ascii="宋体" w:hAnsi="宋体" w:cs="Arial"/>
                <w:color w:val="000000"/>
                <w:kern w:val="0"/>
                <w:sz w:val="22"/>
                <w:szCs w:val="22"/>
              </w:rPr>
              <w:t>目标1：</w:t>
            </w:r>
          </w:p>
        </w:tc>
        <w:tc>
          <w:tcPr>
            <w:tcW w:w="0" w:type="auto"/>
            <w:gridSpan w:val="5"/>
            <w:tcBorders>
              <w:top w:val="single" w:color="auto" w:sz="4" w:space="0"/>
              <w:left w:val="nil"/>
              <w:bottom w:val="single" w:color="auto" w:sz="4" w:space="0"/>
              <w:right w:val="single" w:color="auto" w:sz="4" w:space="0"/>
            </w:tcBorders>
            <w:shd w:val="clear" w:color="auto" w:fill="auto"/>
            <w:vAlign w:val="center"/>
          </w:tcPr>
          <w:p w14:paraId="620029BE">
            <w:pPr>
              <w:jc w:val="left"/>
              <w:rPr>
                <w:rFonts w:ascii="宋体" w:hAnsi="宋体" w:cs="Arial"/>
                <w:color w:val="000000"/>
                <w:kern w:val="0"/>
                <w:sz w:val="22"/>
                <w:szCs w:val="22"/>
              </w:rPr>
            </w:pPr>
            <w:r>
              <w:rPr>
                <w:rFonts w:hint="eastAsia" w:ascii="宋体" w:hAnsi="宋体" w:cs="Arial"/>
                <w:color w:val="000000"/>
                <w:kern w:val="0"/>
                <w:sz w:val="22"/>
                <w:szCs w:val="22"/>
              </w:rPr>
              <w:t>目标1完成情况：</w:t>
            </w:r>
          </w:p>
        </w:tc>
      </w:tr>
      <w:tr w14:paraId="5E3C2A7F">
        <w:tblPrEx>
          <w:tblCellMar>
            <w:top w:w="0" w:type="dxa"/>
            <w:left w:w="108" w:type="dxa"/>
            <w:bottom w:w="0" w:type="dxa"/>
            <w:right w:w="108" w:type="dxa"/>
          </w:tblCellMar>
        </w:tblPrEx>
        <w:trPr>
          <w:trHeight w:val="1133" w:hRule="atLeast"/>
        </w:trPr>
        <w:tc>
          <w:tcPr>
            <w:tcW w:w="0" w:type="auto"/>
            <w:vMerge w:val="continue"/>
            <w:tcBorders>
              <w:top w:val="nil"/>
              <w:left w:val="single" w:color="auto" w:sz="4" w:space="0"/>
              <w:bottom w:val="single" w:color="auto" w:sz="4" w:space="0"/>
              <w:right w:val="single" w:color="auto" w:sz="4" w:space="0"/>
            </w:tcBorders>
            <w:vAlign w:val="center"/>
          </w:tcPr>
          <w:p w14:paraId="6E639E16">
            <w:pPr>
              <w:jc w:val="left"/>
              <w:rPr>
                <w:rFonts w:ascii="宋体" w:hAnsi="宋体" w:cs="Arial"/>
                <w:b/>
                <w:bCs/>
                <w:color w:val="000000"/>
                <w:kern w:val="0"/>
                <w:sz w:val="22"/>
                <w:szCs w:val="22"/>
              </w:rPr>
            </w:pP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14:paraId="7DE4C9CF">
            <w:pPr>
              <w:jc w:val="left"/>
              <w:rPr>
                <w:rFonts w:ascii="宋体" w:hAnsi="宋体" w:cs="Arial"/>
                <w:color w:val="000000"/>
                <w:kern w:val="0"/>
                <w:sz w:val="22"/>
                <w:szCs w:val="22"/>
              </w:rPr>
            </w:pPr>
            <w:r>
              <w:rPr>
                <w:rFonts w:hint="eastAsia" w:ascii="宋体" w:hAnsi="宋体" w:cs="Arial"/>
                <w:color w:val="000000"/>
                <w:kern w:val="0"/>
                <w:sz w:val="22"/>
                <w:szCs w:val="22"/>
              </w:rPr>
              <w:t>目标2：</w:t>
            </w:r>
          </w:p>
        </w:tc>
        <w:tc>
          <w:tcPr>
            <w:tcW w:w="0" w:type="auto"/>
            <w:gridSpan w:val="5"/>
            <w:tcBorders>
              <w:top w:val="single" w:color="auto" w:sz="4" w:space="0"/>
              <w:left w:val="nil"/>
              <w:bottom w:val="single" w:color="auto" w:sz="4" w:space="0"/>
              <w:right w:val="single" w:color="auto" w:sz="4" w:space="0"/>
            </w:tcBorders>
            <w:shd w:val="clear" w:color="auto" w:fill="auto"/>
            <w:vAlign w:val="center"/>
          </w:tcPr>
          <w:p w14:paraId="6310988B">
            <w:pPr>
              <w:jc w:val="left"/>
              <w:rPr>
                <w:rFonts w:ascii="宋体" w:hAnsi="宋体" w:cs="Arial"/>
                <w:color w:val="000000"/>
                <w:kern w:val="0"/>
                <w:sz w:val="22"/>
                <w:szCs w:val="22"/>
              </w:rPr>
            </w:pPr>
            <w:r>
              <w:rPr>
                <w:rFonts w:hint="eastAsia" w:ascii="宋体" w:hAnsi="宋体" w:cs="Arial"/>
                <w:color w:val="000000"/>
                <w:kern w:val="0"/>
                <w:sz w:val="22"/>
                <w:szCs w:val="22"/>
              </w:rPr>
              <w:t>目标2完成情况：</w:t>
            </w:r>
          </w:p>
        </w:tc>
      </w:tr>
      <w:tr w14:paraId="08F8A9FC">
        <w:tblPrEx>
          <w:tblCellMar>
            <w:top w:w="0" w:type="dxa"/>
            <w:left w:w="108" w:type="dxa"/>
            <w:bottom w:w="0" w:type="dxa"/>
            <w:right w:w="108" w:type="dxa"/>
          </w:tblCellMar>
        </w:tblPrEx>
        <w:trPr>
          <w:trHeight w:val="1133" w:hRule="atLeast"/>
        </w:trPr>
        <w:tc>
          <w:tcPr>
            <w:tcW w:w="0" w:type="auto"/>
            <w:vMerge w:val="continue"/>
            <w:tcBorders>
              <w:top w:val="nil"/>
              <w:left w:val="single" w:color="auto" w:sz="4" w:space="0"/>
              <w:bottom w:val="single" w:color="auto" w:sz="4" w:space="0"/>
              <w:right w:val="single" w:color="auto" w:sz="4" w:space="0"/>
            </w:tcBorders>
            <w:vAlign w:val="center"/>
          </w:tcPr>
          <w:p w14:paraId="6CA6FD73">
            <w:pPr>
              <w:jc w:val="left"/>
              <w:rPr>
                <w:rFonts w:ascii="宋体" w:hAnsi="宋体" w:cs="Arial"/>
                <w:b/>
                <w:bCs/>
                <w:color w:val="000000"/>
                <w:kern w:val="0"/>
                <w:sz w:val="22"/>
                <w:szCs w:val="22"/>
              </w:rPr>
            </w:pP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14:paraId="682DB40D">
            <w:pPr>
              <w:jc w:val="left"/>
              <w:rPr>
                <w:rFonts w:ascii="宋体" w:hAnsi="宋体" w:cs="Arial"/>
                <w:b/>
                <w:bCs/>
                <w:color w:val="DD0806"/>
                <w:kern w:val="0"/>
                <w:sz w:val="22"/>
                <w:szCs w:val="22"/>
              </w:rPr>
            </w:pPr>
            <w:r>
              <w:rPr>
                <w:rFonts w:hint="eastAsia" w:ascii="宋体" w:hAnsi="宋体" w:cs="Arial"/>
                <w:b/>
                <w:bCs/>
                <w:color w:val="DD0806"/>
                <w:kern w:val="0"/>
                <w:sz w:val="22"/>
                <w:szCs w:val="22"/>
              </w:rPr>
              <w:t>......线下录入</w:t>
            </w:r>
          </w:p>
        </w:tc>
        <w:tc>
          <w:tcPr>
            <w:tcW w:w="0" w:type="auto"/>
            <w:gridSpan w:val="5"/>
            <w:tcBorders>
              <w:top w:val="single" w:color="auto" w:sz="4" w:space="0"/>
              <w:left w:val="nil"/>
              <w:bottom w:val="single" w:color="auto" w:sz="4" w:space="0"/>
              <w:right w:val="single" w:color="auto" w:sz="4" w:space="0"/>
            </w:tcBorders>
            <w:shd w:val="clear" w:color="auto" w:fill="auto"/>
            <w:vAlign w:val="center"/>
          </w:tcPr>
          <w:p w14:paraId="49EFC161">
            <w:pPr>
              <w:jc w:val="left"/>
              <w:rPr>
                <w:rFonts w:ascii="宋体" w:hAnsi="宋体" w:cs="Arial"/>
                <w:b/>
                <w:bCs/>
                <w:color w:val="DD0806"/>
                <w:kern w:val="0"/>
                <w:sz w:val="22"/>
                <w:szCs w:val="22"/>
              </w:rPr>
            </w:pPr>
            <w:r>
              <w:rPr>
                <w:rFonts w:hint="eastAsia" w:ascii="宋体" w:hAnsi="宋体" w:cs="Arial"/>
                <w:b/>
                <w:bCs/>
                <w:color w:val="DD0806"/>
                <w:kern w:val="0"/>
                <w:sz w:val="22"/>
                <w:szCs w:val="22"/>
              </w:rPr>
              <w:t>......线下录入</w:t>
            </w:r>
          </w:p>
        </w:tc>
      </w:tr>
      <w:tr w14:paraId="4756379D">
        <w:tblPrEx>
          <w:tblCellMar>
            <w:top w:w="0" w:type="dxa"/>
            <w:left w:w="108" w:type="dxa"/>
            <w:bottom w:w="0" w:type="dxa"/>
            <w:right w:w="108" w:type="dxa"/>
          </w:tblCellMar>
        </w:tblPrEx>
        <w:trPr>
          <w:trHeight w:val="1133"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1DF37E7">
            <w:pPr>
              <w:jc w:val="center"/>
              <w:rPr>
                <w:rFonts w:ascii="宋体" w:hAnsi="宋体" w:cs="Arial"/>
                <w:b/>
                <w:bCs/>
                <w:color w:val="000000"/>
                <w:kern w:val="0"/>
                <w:sz w:val="22"/>
                <w:szCs w:val="22"/>
              </w:rPr>
            </w:pPr>
            <w:r>
              <w:rPr>
                <w:rFonts w:hint="eastAsia" w:ascii="宋体" w:hAnsi="宋体" w:cs="Arial"/>
                <w:b/>
                <w:bCs/>
                <w:color w:val="000000"/>
                <w:kern w:val="0"/>
                <w:sz w:val="22"/>
                <w:szCs w:val="22"/>
              </w:rPr>
              <w:t>一级指标</w:t>
            </w:r>
          </w:p>
        </w:tc>
        <w:tc>
          <w:tcPr>
            <w:tcW w:w="0" w:type="auto"/>
            <w:tcBorders>
              <w:top w:val="nil"/>
              <w:left w:val="nil"/>
              <w:bottom w:val="single" w:color="auto" w:sz="4" w:space="0"/>
              <w:right w:val="single" w:color="auto" w:sz="4" w:space="0"/>
            </w:tcBorders>
            <w:shd w:val="clear" w:color="auto" w:fill="auto"/>
            <w:vAlign w:val="center"/>
          </w:tcPr>
          <w:p w14:paraId="6A38BAF0">
            <w:pPr>
              <w:jc w:val="center"/>
              <w:rPr>
                <w:rFonts w:ascii="宋体" w:hAnsi="宋体" w:cs="Arial"/>
                <w:b/>
                <w:bCs/>
                <w:color w:val="000000"/>
                <w:kern w:val="0"/>
                <w:sz w:val="22"/>
                <w:szCs w:val="22"/>
              </w:rPr>
            </w:pPr>
            <w:r>
              <w:rPr>
                <w:rFonts w:hint="eastAsia" w:ascii="宋体" w:hAnsi="宋体" w:cs="Arial"/>
                <w:b/>
                <w:bCs/>
                <w:color w:val="000000"/>
                <w:kern w:val="0"/>
                <w:sz w:val="22"/>
                <w:szCs w:val="22"/>
              </w:rPr>
              <w:t>二级指标</w:t>
            </w:r>
          </w:p>
        </w:tc>
        <w:tc>
          <w:tcPr>
            <w:tcW w:w="0" w:type="auto"/>
            <w:tcBorders>
              <w:top w:val="nil"/>
              <w:left w:val="nil"/>
              <w:bottom w:val="single" w:color="auto" w:sz="4" w:space="0"/>
              <w:right w:val="single" w:color="auto" w:sz="4" w:space="0"/>
            </w:tcBorders>
            <w:shd w:val="clear" w:color="auto" w:fill="auto"/>
            <w:vAlign w:val="center"/>
          </w:tcPr>
          <w:p w14:paraId="708E9D12">
            <w:pPr>
              <w:jc w:val="center"/>
              <w:rPr>
                <w:rFonts w:ascii="宋体" w:hAnsi="宋体" w:cs="Arial"/>
                <w:b/>
                <w:bCs/>
                <w:color w:val="000000"/>
                <w:kern w:val="0"/>
                <w:sz w:val="22"/>
                <w:szCs w:val="22"/>
              </w:rPr>
            </w:pPr>
            <w:r>
              <w:rPr>
                <w:rFonts w:hint="eastAsia" w:ascii="宋体" w:hAnsi="宋体" w:cs="Arial"/>
                <w:b/>
                <w:bCs/>
                <w:color w:val="000000"/>
                <w:kern w:val="0"/>
                <w:sz w:val="22"/>
                <w:szCs w:val="22"/>
              </w:rPr>
              <w:t>三级指标</w:t>
            </w:r>
          </w:p>
        </w:tc>
        <w:tc>
          <w:tcPr>
            <w:tcW w:w="0" w:type="auto"/>
            <w:tcBorders>
              <w:top w:val="nil"/>
              <w:left w:val="nil"/>
              <w:bottom w:val="single" w:color="auto" w:sz="4" w:space="0"/>
              <w:right w:val="single" w:color="auto" w:sz="4" w:space="0"/>
            </w:tcBorders>
            <w:shd w:val="clear" w:color="auto" w:fill="auto"/>
            <w:vAlign w:val="center"/>
          </w:tcPr>
          <w:p w14:paraId="78B43DDA">
            <w:pPr>
              <w:jc w:val="center"/>
              <w:rPr>
                <w:rFonts w:ascii="宋体" w:hAnsi="宋体" w:cs="Arial"/>
                <w:b/>
                <w:bCs/>
                <w:color w:val="000000"/>
                <w:kern w:val="0"/>
                <w:sz w:val="22"/>
                <w:szCs w:val="22"/>
              </w:rPr>
            </w:pPr>
            <w:r>
              <w:rPr>
                <w:rFonts w:hint="eastAsia" w:ascii="宋体" w:hAnsi="宋体" w:cs="Arial"/>
                <w:b/>
                <w:bCs/>
                <w:color w:val="000000"/>
                <w:kern w:val="0"/>
                <w:sz w:val="22"/>
                <w:szCs w:val="22"/>
              </w:rPr>
              <w:t>年度指标值</w:t>
            </w:r>
          </w:p>
        </w:tc>
        <w:tc>
          <w:tcPr>
            <w:tcW w:w="0" w:type="auto"/>
            <w:tcBorders>
              <w:top w:val="nil"/>
              <w:left w:val="nil"/>
              <w:bottom w:val="single" w:color="auto" w:sz="4" w:space="0"/>
              <w:right w:val="single" w:color="auto" w:sz="4" w:space="0"/>
            </w:tcBorders>
            <w:shd w:val="clear" w:color="auto" w:fill="auto"/>
            <w:vAlign w:val="center"/>
          </w:tcPr>
          <w:p w14:paraId="36CDF4C8">
            <w:pPr>
              <w:jc w:val="center"/>
              <w:rPr>
                <w:rFonts w:ascii="宋体" w:hAnsi="宋体" w:cs="Arial"/>
                <w:b/>
                <w:bCs/>
                <w:color w:val="000000"/>
                <w:kern w:val="0"/>
                <w:sz w:val="22"/>
                <w:szCs w:val="22"/>
              </w:rPr>
            </w:pPr>
            <w:r>
              <w:rPr>
                <w:rFonts w:hint="eastAsia" w:ascii="宋体" w:hAnsi="宋体" w:cs="Arial"/>
                <w:b/>
                <w:bCs/>
                <w:color w:val="000000"/>
                <w:kern w:val="0"/>
                <w:sz w:val="22"/>
                <w:szCs w:val="22"/>
              </w:rPr>
              <w:t>实际完成值</w:t>
            </w:r>
          </w:p>
        </w:tc>
        <w:tc>
          <w:tcPr>
            <w:tcW w:w="0" w:type="auto"/>
            <w:tcBorders>
              <w:top w:val="nil"/>
              <w:left w:val="nil"/>
              <w:bottom w:val="single" w:color="auto" w:sz="4" w:space="0"/>
              <w:right w:val="single" w:color="auto" w:sz="4" w:space="0"/>
            </w:tcBorders>
            <w:shd w:val="clear" w:color="auto" w:fill="auto"/>
            <w:vAlign w:val="center"/>
          </w:tcPr>
          <w:p w14:paraId="268F29CF">
            <w:pPr>
              <w:jc w:val="center"/>
              <w:rPr>
                <w:rFonts w:ascii="宋体" w:hAnsi="宋体" w:cs="Arial"/>
                <w:b/>
                <w:bCs/>
                <w:color w:val="000000"/>
                <w:kern w:val="0"/>
                <w:sz w:val="22"/>
                <w:szCs w:val="22"/>
              </w:rPr>
            </w:pPr>
            <w:r>
              <w:rPr>
                <w:rFonts w:hint="eastAsia" w:ascii="宋体" w:hAnsi="宋体" w:cs="Arial"/>
                <w:b/>
                <w:bCs/>
                <w:color w:val="000000"/>
                <w:kern w:val="0"/>
                <w:sz w:val="22"/>
                <w:szCs w:val="22"/>
              </w:rPr>
              <w:t>分值</w:t>
            </w:r>
          </w:p>
        </w:tc>
        <w:tc>
          <w:tcPr>
            <w:tcW w:w="0" w:type="auto"/>
            <w:tcBorders>
              <w:top w:val="nil"/>
              <w:left w:val="nil"/>
              <w:bottom w:val="single" w:color="auto" w:sz="4" w:space="0"/>
              <w:right w:val="single" w:color="auto" w:sz="4" w:space="0"/>
            </w:tcBorders>
            <w:shd w:val="clear" w:color="auto" w:fill="auto"/>
            <w:vAlign w:val="center"/>
          </w:tcPr>
          <w:p w14:paraId="6A6326A7">
            <w:pPr>
              <w:jc w:val="center"/>
              <w:rPr>
                <w:rFonts w:ascii="宋体" w:hAnsi="宋体" w:cs="Arial"/>
                <w:b/>
                <w:bCs/>
                <w:color w:val="000000"/>
                <w:kern w:val="0"/>
                <w:sz w:val="22"/>
                <w:szCs w:val="22"/>
              </w:rPr>
            </w:pPr>
            <w:r>
              <w:rPr>
                <w:rFonts w:hint="eastAsia" w:ascii="宋体" w:hAnsi="宋体" w:cs="Arial"/>
                <w:b/>
                <w:bCs/>
                <w:color w:val="000000"/>
                <w:kern w:val="0"/>
                <w:sz w:val="22"/>
                <w:szCs w:val="22"/>
              </w:rPr>
              <w:t>得分</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4FD8E916">
            <w:pPr>
              <w:jc w:val="center"/>
              <w:rPr>
                <w:rFonts w:ascii="宋体" w:hAnsi="宋体" w:cs="Arial"/>
                <w:b/>
                <w:bCs/>
                <w:color w:val="000000"/>
                <w:kern w:val="0"/>
                <w:sz w:val="22"/>
                <w:szCs w:val="22"/>
              </w:rPr>
            </w:pPr>
            <w:r>
              <w:rPr>
                <w:rFonts w:hint="eastAsia" w:ascii="宋体" w:hAnsi="宋体" w:cs="Arial"/>
                <w:b/>
                <w:bCs/>
                <w:color w:val="000000"/>
                <w:kern w:val="0"/>
                <w:sz w:val="22"/>
                <w:szCs w:val="22"/>
              </w:rPr>
              <w:t>偏差原因分析</w:t>
            </w:r>
            <w:r>
              <w:rPr>
                <w:rFonts w:hint="eastAsia" w:ascii="宋体" w:hAnsi="宋体" w:cs="Arial"/>
                <w:b/>
                <w:bCs/>
                <w:color w:val="000000"/>
                <w:kern w:val="0"/>
                <w:sz w:val="22"/>
                <w:szCs w:val="22"/>
              </w:rPr>
              <w:br w:type="textWrapping"/>
            </w:r>
            <w:r>
              <w:rPr>
                <w:rFonts w:hint="eastAsia" w:ascii="宋体" w:hAnsi="宋体" w:cs="Arial"/>
                <w:b/>
                <w:bCs/>
                <w:color w:val="000000"/>
                <w:kern w:val="0"/>
                <w:sz w:val="22"/>
                <w:szCs w:val="22"/>
              </w:rPr>
              <w:t>及改进措施</w:t>
            </w:r>
          </w:p>
        </w:tc>
      </w:tr>
      <w:tr w14:paraId="46430CA5">
        <w:tblPrEx>
          <w:tblCellMar>
            <w:top w:w="0" w:type="dxa"/>
            <w:left w:w="108" w:type="dxa"/>
            <w:bottom w:w="0" w:type="dxa"/>
            <w:right w:w="108" w:type="dxa"/>
          </w:tblCellMar>
        </w:tblPrEx>
        <w:trPr>
          <w:trHeight w:val="563"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6A63EC9">
            <w:pPr>
              <w:jc w:val="center"/>
              <w:rPr>
                <w:rFonts w:ascii="宋体" w:hAnsi="宋体" w:cs="Arial"/>
                <w:color w:val="333333"/>
                <w:kern w:val="0"/>
                <w:sz w:val="22"/>
                <w:szCs w:val="22"/>
              </w:rPr>
            </w:pPr>
            <w:r>
              <w:rPr>
                <w:rFonts w:hint="eastAsia" w:ascii="宋体" w:hAnsi="宋体" w:cs="Arial"/>
                <w:color w:val="333333"/>
                <w:kern w:val="0"/>
                <w:sz w:val="22"/>
                <w:szCs w:val="22"/>
              </w:rPr>
              <w:t>部门管理</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74341FD">
            <w:pPr>
              <w:jc w:val="center"/>
              <w:rPr>
                <w:rFonts w:ascii="宋体" w:hAnsi="宋体" w:cs="Arial"/>
                <w:color w:val="333333"/>
                <w:kern w:val="0"/>
                <w:sz w:val="22"/>
                <w:szCs w:val="22"/>
              </w:rPr>
            </w:pPr>
            <w:r>
              <w:rPr>
                <w:rFonts w:hint="eastAsia" w:ascii="宋体" w:hAnsi="宋体" w:cs="Arial"/>
                <w:color w:val="333333"/>
                <w:kern w:val="0"/>
                <w:sz w:val="22"/>
                <w:szCs w:val="22"/>
              </w:rPr>
              <w:t>资金投入</w:t>
            </w:r>
          </w:p>
        </w:tc>
        <w:tc>
          <w:tcPr>
            <w:tcW w:w="0" w:type="auto"/>
            <w:tcBorders>
              <w:top w:val="nil"/>
              <w:left w:val="nil"/>
              <w:bottom w:val="single" w:color="auto" w:sz="4" w:space="0"/>
              <w:right w:val="single" w:color="auto" w:sz="4" w:space="0"/>
            </w:tcBorders>
            <w:shd w:val="clear" w:color="000000" w:fill="FFFFFF"/>
            <w:vAlign w:val="center"/>
          </w:tcPr>
          <w:p w14:paraId="4C25AC6F">
            <w:pPr>
              <w:jc w:val="left"/>
              <w:rPr>
                <w:rFonts w:ascii="宋体" w:hAnsi="宋体" w:cs="Arial"/>
                <w:color w:val="333333"/>
                <w:kern w:val="0"/>
                <w:sz w:val="22"/>
                <w:szCs w:val="22"/>
              </w:rPr>
            </w:pPr>
            <w:r>
              <w:rPr>
                <w:rFonts w:hint="eastAsia" w:ascii="宋体" w:hAnsi="宋体" w:cs="Arial"/>
                <w:color w:val="333333"/>
                <w:kern w:val="0"/>
                <w:sz w:val="22"/>
                <w:szCs w:val="22"/>
              </w:rPr>
              <w:t>基本支出预算执行率</w:t>
            </w:r>
          </w:p>
        </w:tc>
        <w:tc>
          <w:tcPr>
            <w:tcW w:w="0" w:type="auto"/>
            <w:tcBorders>
              <w:top w:val="nil"/>
              <w:left w:val="nil"/>
              <w:bottom w:val="single" w:color="auto" w:sz="4" w:space="0"/>
              <w:right w:val="single" w:color="auto" w:sz="4" w:space="0"/>
            </w:tcBorders>
            <w:shd w:val="clear" w:color="000000" w:fill="FFFFFF"/>
            <w:vAlign w:val="center"/>
          </w:tcPr>
          <w:p w14:paraId="73CE1FE9">
            <w:pPr>
              <w:jc w:val="center"/>
              <w:rPr>
                <w:rFonts w:ascii="宋体" w:hAnsi="宋体" w:cs="Arial"/>
                <w:color w:val="333333"/>
                <w:kern w:val="0"/>
                <w:sz w:val="22"/>
                <w:szCs w:val="22"/>
              </w:rPr>
            </w:pPr>
            <w:r>
              <w:rPr>
                <w:rFonts w:hint="eastAsia" w:ascii="宋体" w:hAnsi="宋体" w:cs="Arial"/>
                <w:color w:val="333333"/>
                <w:kern w:val="0"/>
                <w:sz w:val="22"/>
                <w:szCs w:val="22"/>
              </w:rPr>
              <w:t>=100%</w:t>
            </w:r>
          </w:p>
        </w:tc>
        <w:tc>
          <w:tcPr>
            <w:tcW w:w="0" w:type="auto"/>
            <w:tcBorders>
              <w:top w:val="nil"/>
              <w:left w:val="nil"/>
              <w:bottom w:val="single" w:color="auto" w:sz="4" w:space="0"/>
              <w:right w:val="single" w:color="auto" w:sz="4" w:space="0"/>
            </w:tcBorders>
            <w:shd w:val="clear" w:color="auto" w:fill="auto"/>
            <w:vAlign w:val="center"/>
          </w:tcPr>
          <w:p w14:paraId="1E67F535">
            <w:pPr>
              <w:jc w:val="center"/>
              <w:rPr>
                <w:rFonts w:ascii="宋体" w:hAnsi="宋体" w:cs="Arial"/>
                <w:color w:val="000000"/>
                <w:kern w:val="0"/>
                <w:sz w:val="22"/>
                <w:szCs w:val="22"/>
              </w:rPr>
            </w:pPr>
            <w:r>
              <w:rPr>
                <w:rFonts w:hint="eastAsia" w:ascii="宋体" w:hAnsi="宋体" w:cs="Arial"/>
                <w:color w:val="000000"/>
                <w:kern w:val="0"/>
                <w:sz w:val="22"/>
                <w:szCs w:val="22"/>
              </w:rPr>
              <w:t>100%</w:t>
            </w:r>
          </w:p>
        </w:tc>
        <w:tc>
          <w:tcPr>
            <w:tcW w:w="0" w:type="auto"/>
            <w:tcBorders>
              <w:top w:val="nil"/>
              <w:left w:val="nil"/>
              <w:bottom w:val="single" w:color="auto" w:sz="4" w:space="0"/>
              <w:right w:val="single" w:color="auto" w:sz="4" w:space="0"/>
            </w:tcBorders>
            <w:shd w:val="clear" w:color="auto" w:fill="auto"/>
            <w:vAlign w:val="center"/>
          </w:tcPr>
          <w:p w14:paraId="121313B1">
            <w:pPr>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0" w:type="auto"/>
            <w:tcBorders>
              <w:top w:val="nil"/>
              <w:left w:val="nil"/>
              <w:bottom w:val="single" w:color="auto" w:sz="4" w:space="0"/>
              <w:right w:val="single" w:color="auto" w:sz="4" w:space="0"/>
            </w:tcBorders>
            <w:shd w:val="clear" w:color="000000" w:fill="FFFFFF"/>
            <w:vAlign w:val="center"/>
          </w:tcPr>
          <w:p w14:paraId="3CF6D6E4">
            <w:pPr>
              <w:jc w:val="center"/>
              <w:rPr>
                <w:rFonts w:ascii="宋体" w:hAnsi="宋体" w:cs="Arial"/>
                <w:color w:val="333333"/>
                <w:kern w:val="0"/>
                <w:sz w:val="22"/>
                <w:szCs w:val="22"/>
              </w:rPr>
            </w:pPr>
            <w:r>
              <w:rPr>
                <w:rFonts w:hint="eastAsia" w:ascii="宋体" w:hAnsi="宋体" w:cs="Arial"/>
                <w:color w:val="333333"/>
                <w:kern w:val="0"/>
                <w:sz w:val="22"/>
                <w:szCs w:val="22"/>
              </w:rPr>
              <w:t>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25012245">
            <w:pPr>
              <w:jc w:val="left"/>
              <w:rPr>
                <w:rFonts w:ascii="宋体" w:hAnsi="宋体" w:cs="Arial"/>
                <w:color w:val="333333"/>
                <w:kern w:val="0"/>
                <w:sz w:val="22"/>
                <w:szCs w:val="22"/>
              </w:rPr>
            </w:pPr>
            <w:r>
              <w:rPr>
                <w:rFonts w:hint="eastAsia" w:ascii="宋体" w:hAnsi="宋体" w:cs="Arial"/>
                <w:color w:val="333333"/>
                <w:kern w:val="0"/>
                <w:sz w:val="22"/>
                <w:szCs w:val="22"/>
              </w:rPr>
              <w:t>　</w:t>
            </w:r>
          </w:p>
        </w:tc>
      </w:tr>
      <w:tr w14:paraId="03731A2A">
        <w:tblPrEx>
          <w:tblCellMar>
            <w:top w:w="0" w:type="dxa"/>
            <w:left w:w="108" w:type="dxa"/>
            <w:bottom w:w="0" w:type="dxa"/>
            <w:right w:w="108" w:type="dxa"/>
          </w:tblCellMar>
        </w:tblPrEx>
        <w:trPr>
          <w:trHeight w:val="563" w:hRule="atLeast"/>
        </w:trPr>
        <w:tc>
          <w:tcPr>
            <w:tcW w:w="0" w:type="auto"/>
            <w:vMerge w:val="continue"/>
            <w:tcBorders>
              <w:top w:val="nil"/>
              <w:left w:val="single" w:color="auto" w:sz="4" w:space="0"/>
              <w:bottom w:val="single" w:color="auto" w:sz="4" w:space="0"/>
              <w:right w:val="single" w:color="auto" w:sz="4" w:space="0"/>
            </w:tcBorders>
            <w:vAlign w:val="center"/>
          </w:tcPr>
          <w:p w14:paraId="2CFD1C4D">
            <w:pPr>
              <w:jc w:val="left"/>
              <w:rPr>
                <w:rFonts w:ascii="宋体" w:hAnsi="宋体" w:cs="Arial"/>
                <w:color w:val="333333"/>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14:paraId="091F4A03">
            <w:pPr>
              <w:jc w:val="left"/>
              <w:rPr>
                <w:rFonts w:ascii="宋体" w:hAnsi="宋体" w:cs="Arial"/>
                <w:color w:val="333333"/>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14:paraId="54AB09AB">
            <w:pPr>
              <w:jc w:val="left"/>
              <w:rPr>
                <w:rFonts w:ascii="宋体" w:hAnsi="宋体" w:cs="Arial"/>
                <w:color w:val="333333"/>
                <w:kern w:val="0"/>
                <w:sz w:val="22"/>
                <w:szCs w:val="22"/>
              </w:rPr>
            </w:pPr>
            <w:r>
              <w:rPr>
                <w:rFonts w:hint="eastAsia" w:ascii="宋体" w:hAnsi="宋体" w:cs="Arial"/>
                <w:color w:val="333333"/>
                <w:kern w:val="0"/>
                <w:sz w:val="22"/>
                <w:szCs w:val="22"/>
              </w:rPr>
              <w:t>“三公经费”控制率</w:t>
            </w:r>
          </w:p>
        </w:tc>
        <w:tc>
          <w:tcPr>
            <w:tcW w:w="0" w:type="auto"/>
            <w:tcBorders>
              <w:top w:val="nil"/>
              <w:left w:val="nil"/>
              <w:bottom w:val="single" w:color="auto" w:sz="4" w:space="0"/>
              <w:right w:val="single" w:color="auto" w:sz="4" w:space="0"/>
            </w:tcBorders>
            <w:shd w:val="clear" w:color="000000" w:fill="FFFFFF"/>
            <w:vAlign w:val="center"/>
          </w:tcPr>
          <w:p w14:paraId="4D744686">
            <w:pPr>
              <w:jc w:val="center"/>
              <w:rPr>
                <w:rFonts w:ascii="宋体" w:hAnsi="宋体" w:cs="Arial"/>
                <w:color w:val="333333"/>
                <w:kern w:val="0"/>
                <w:sz w:val="22"/>
                <w:szCs w:val="22"/>
              </w:rPr>
            </w:pPr>
            <w:r>
              <w:rPr>
                <w:rFonts w:hint="eastAsia" w:ascii="宋体" w:hAnsi="宋体" w:cs="Arial"/>
                <w:color w:val="333333"/>
                <w:kern w:val="0"/>
                <w:sz w:val="22"/>
                <w:szCs w:val="22"/>
              </w:rPr>
              <w:t>=100%</w:t>
            </w:r>
          </w:p>
        </w:tc>
        <w:tc>
          <w:tcPr>
            <w:tcW w:w="0" w:type="auto"/>
            <w:tcBorders>
              <w:top w:val="nil"/>
              <w:left w:val="nil"/>
              <w:bottom w:val="single" w:color="auto" w:sz="4" w:space="0"/>
              <w:right w:val="single" w:color="auto" w:sz="4" w:space="0"/>
            </w:tcBorders>
            <w:shd w:val="clear" w:color="auto" w:fill="auto"/>
            <w:vAlign w:val="center"/>
          </w:tcPr>
          <w:p w14:paraId="4F39EA94">
            <w:pPr>
              <w:jc w:val="center"/>
              <w:rPr>
                <w:rFonts w:ascii="宋体" w:hAnsi="宋体" w:cs="Arial"/>
                <w:color w:val="000000"/>
                <w:kern w:val="0"/>
                <w:sz w:val="22"/>
                <w:szCs w:val="22"/>
              </w:rPr>
            </w:pPr>
            <w:r>
              <w:rPr>
                <w:rFonts w:hint="eastAsia" w:ascii="宋体" w:hAnsi="宋体" w:cs="Arial"/>
                <w:color w:val="000000"/>
                <w:kern w:val="0"/>
                <w:sz w:val="22"/>
                <w:szCs w:val="22"/>
              </w:rPr>
              <w:t>100%</w:t>
            </w:r>
          </w:p>
        </w:tc>
        <w:tc>
          <w:tcPr>
            <w:tcW w:w="0" w:type="auto"/>
            <w:tcBorders>
              <w:top w:val="nil"/>
              <w:left w:val="nil"/>
              <w:bottom w:val="single" w:color="auto" w:sz="4" w:space="0"/>
              <w:right w:val="single" w:color="auto" w:sz="4" w:space="0"/>
            </w:tcBorders>
            <w:shd w:val="clear" w:color="auto" w:fill="auto"/>
            <w:vAlign w:val="center"/>
          </w:tcPr>
          <w:p w14:paraId="586C4A2E">
            <w:pPr>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0" w:type="auto"/>
            <w:tcBorders>
              <w:top w:val="nil"/>
              <w:left w:val="nil"/>
              <w:bottom w:val="single" w:color="auto" w:sz="4" w:space="0"/>
              <w:right w:val="single" w:color="auto" w:sz="4" w:space="0"/>
            </w:tcBorders>
            <w:shd w:val="clear" w:color="000000" w:fill="FFFFFF"/>
            <w:vAlign w:val="center"/>
          </w:tcPr>
          <w:p w14:paraId="07DF6327">
            <w:pPr>
              <w:jc w:val="center"/>
              <w:rPr>
                <w:rFonts w:ascii="宋体" w:hAnsi="宋体" w:cs="Arial"/>
                <w:color w:val="333333"/>
                <w:kern w:val="0"/>
                <w:sz w:val="22"/>
                <w:szCs w:val="22"/>
              </w:rPr>
            </w:pPr>
            <w:r>
              <w:rPr>
                <w:rFonts w:hint="eastAsia" w:ascii="宋体" w:hAnsi="宋体" w:cs="Arial"/>
                <w:color w:val="333333"/>
                <w:kern w:val="0"/>
                <w:sz w:val="22"/>
                <w:szCs w:val="22"/>
              </w:rPr>
              <w:t>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2E1C6309">
            <w:pPr>
              <w:jc w:val="left"/>
              <w:rPr>
                <w:rFonts w:ascii="宋体" w:hAnsi="宋体" w:cs="Arial"/>
                <w:color w:val="333333"/>
                <w:kern w:val="0"/>
                <w:sz w:val="22"/>
                <w:szCs w:val="22"/>
              </w:rPr>
            </w:pPr>
            <w:r>
              <w:rPr>
                <w:rFonts w:hint="eastAsia" w:ascii="宋体" w:hAnsi="宋体" w:cs="Arial"/>
                <w:color w:val="333333"/>
                <w:kern w:val="0"/>
                <w:sz w:val="22"/>
                <w:szCs w:val="22"/>
              </w:rPr>
              <w:t>　</w:t>
            </w:r>
          </w:p>
        </w:tc>
      </w:tr>
      <w:tr w14:paraId="570E691B">
        <w:tblPrEx>
          <w:tblCellMar>
            <w:top w:w="0" w:type="dxa"/>
            <w:left w:w="108" w:type="dxa"/>
            <w:bottom w:w="0" w:type="dxa"/>
            <w:right w:w="108" w:type="dxa"/>
          </w:tblCellMar>
        </w:tblPrEx>
        <w:trPr>
          <w:trHeight w:val="563" w:hRule="atLeast"/>
        </w:trPr>
        <w:tc>
          <w:tcPr>
            <w:tcW w:w="0" w:type="auto"/>
            <w:vMerge w:val="continue"/>
            <w:tcBorders>
              <w:top w:val="nil"/>
              <w:left w:val="single" w:color="auto" w:sz="4" w:space="0"/>
              <w:bottom w:val="single" w:color="auto" w:sz="4" w:space="0"/>
              <w:right w:val="single" w:color="auto" w:sz="4" w:space="0"/>
            </w:tcBorders>
            <w:vAlign w:val="center"/>
          </w:tcPr>
          <w:p w14:paraId="3F8303AB">
            <w:pPr>
              <w:jc w:val="left"/>
              <w:rPr>
                <w:rFonts w:ascii="宋体" w:hAnsi="宋体" w:cs="Arial"/>
                <w:color w:val="333333"/>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14:paraId="1B0F979C">
            <w:pPr>
              <w:jc w:val="left"/>
              <w:rPr>
                <w:rFonts w:ascii="宋体" w:hAnsi="宋体" w:cs="Arial"/>
                <w:color w:val="333333"/>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14:paraId="69361B53">
            <w:pPr>
              <w:jc w:val="left"/>
              <w:rPr>
                <w:rFonts w:ascii="宋体" w:hAnsi="宋体" w:cs="Arial"/>
                <w:color w:val="333333"/>
                <w:kern w:val="0"/>
                <w:sz w:val="22"/>
                <w:szCs w:val="22"/>
              </w:rPr>
            </w:pPr>
            <w:r>
              <w:rPr>
                <w:rFonts w:hint="eastAsia" w:ascii="宋体" w:hAnsi="宋体" w:cs="Arial"/>
                <w:color w:val="333333"/>
                <w:kern w:val="0"/>
                <w:sz w:val="22"/>
                <w:szCs w:val="22"/>
              </w:rPr>
              <w:t>结转结余变动率</w:t>
            </w:r>
          </w:p>
        </w:tc>
        <w:tc>
          <w:tcPr>
            <w:tcW w:w="0" w:type="auto"/>
            <w:tcBorders>
              <w:top w:val="nil"/>
              <w:left w:val="nil"/>
              <w:bottom w:val="single" w:color="auto" w:sz="4" w:space="0"/>
              <w:right w:val="single" w:color="auto" w:sz="4" w:space="0"/>
            </w:tcBorders>
            <w:shd w:val="clear" w:color="000000" w:fill="FFFFFF"/>
            <w:vAlign w:val="center"/>
          </w:tcPr>
          <w:p w14:paraId="4CF757CA">
            <w:pPr>
              <w:jc w:val="center"/>
              <w:rPr>
                <w:rFonts w:ascii="宋体" w:hAnsi="宋体" w:cs="Arial"/>
                <w:color w:val="333333"/>
                <w:kern w:val="0"/>
                <w:sz w:val="22"/>
                <w:szCs w:val="22"/>
              </w:rPr>
            </w:pPr>
            <w:r>
              <w:rPr>
                <w:rFonts w:hint="eastAsia" w:ascii="宋体" w:hAnsi="宋体" w:cs="Arial"/>
                <w:color w:val="333333"/>
                <w:kern w:val="0"/>
                <w:sz w:val="22"/>
                <w:szCs w:val="22"/>
              </w:rPr>
              <w:t>&lt;=0%</w:t>
            </w:r>
          </w:p>
        </w:tc>
        <w:tc>
          <w:tcPr>
            <w:tcW w:w="0" w:type="auto"/>
            <w:tcBorders>
              <w:top w:val="nil"/>
              <w:left w:val="nil"/>
              <w:bottom w:val="single" w:color="auto" w:sz="4" w:space="0"/>
              <w:right w:val="single" w:color="auto" w:sz="4" w:space="0"/>
            </w:tcBorders>
            <w:shd w:val="clear" w:color="auto" w:fill="auto"/>
            <w:vAlign w:val="center"/>
          </w:tcPr>
          <w:p w14:paraId="3874BFBF">
            <w:pPr>
              <w:jc w:val="center"/>
              <w:rPr>
                <w:rFonts w:ascii="宋体" w:hAnsi="宋体" w:cs="Arial"/>
                <w:color w:val="000000"/>
                <w:kern w:val="0"/>
                <w:sz w:val="22"/>
                <w:szCs w:val="22"/>
              </w:rPr>
            </w:pPr>
            <w:r>
              <w:rPr>
                <w:rFonts w:hint="eastAsia" w:ascii="宋体" w:hAnsi="宋体" w:cs="Arial"/>
                <w:color w:val="000000"/>
                <w:kern w:val="0"/>
                <w:sz w:val="22"/>
                <w:szCs w:val="22"/>
              </w:rPr>
              <w:t>0%</w:t>
            </w:r>
          </w:p>
        </w:tc>
        <w:tc>
          <w:tcPr>
            <w:tcW w:w="0" w:type="auto"/>
            <w:tcBorders>
              <w:top w:val="nil"/>
              <w:left w:val="nil"/>
              <w:bottom w:val="single" w:color="auto" w:sz="4" w:space="0"/>
              <w:right w:val="single" w:color="auto" w:sz="4" w:space="0"/>
            </w:tcBorders>
            <w:shd w:val="clear" w:color="auto" w:fill="auto"/>
            <w:vAlign w:val="center"/>
          </w:tcPr>
          <w:p w14:paraId="75FA0224">
            <w:pPr>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0" w:type="auto"/>
            <w:tcBorders>
              <w:top w:val="nil"/>
              <w:left w:val="nil"/>
              <w:bottom w:val="single" w:color="auto" w:sz="4" w:space="0"/>
              <w:right w:val="single" w:color="auto" w:sz="4" w:space="0"/>
            </w:tcBorders>
            <w:shd w:val="clear" w:color="000000" w:fill="FFFFFF"/>
            <w:vAlign w:val="center"/>
          </w:tcPr>
          <w:p w14:paraId="2B1D8F98">
            <w:pPr>
              <w:jc w:val="center"/>
              <w:rPr>
                <w:rFonts w:ascii="宋体" w:hAnsi="宋体" w:cs="Arial"/>
                <w:color w:val="333333"/>
                <w:kern w:val="0"/>
                <w:sz w:val="22"/>
                <w:szCs w:val="22"/>
              </w:rPr>
            </w:pPr>
            <w:r>
              <w:rPr>
                <w:rFonts w:hint="eastAsia" w:ascii="宋体" w:hAnsi="宋体" w:cs="Arial"/>
                <w:color w:val="333333"/>
                <w:kern w:val="0"/>
                <w:sz w:val="22"/>
                <w:szCs w:val="22"/>
              </w:rPr>
              <w:t>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0527BD5B">
            <w:pPr>
              <w:jc w:val="left"/>
              <w:rPr>
                <w:rFonts w:ascii="宋体" w:hAnsi="宋体" w:cs="Arial"/>
                <w:color w:val="333333"/>
                <w:kern w:val="0"/>
                <w:sz w:val="22"/>
                <w:szCs w:val="22"/>
              </w:rPr>
            </w:pPr>
            <w:r>
              <w:rPr>
                <w:rFonts w:hint="eastAsia" w:ascii="宋体" w:hAnsi="宋体" w:cs="Arial"/>
                <w:color w:val="333333"/>
                <w:kern w:val="0"/>
                <w:sz w:val="22"/>
                <w:szCs w:val="22"/>
              </w:rPr>
              <w:t>　</w:t>
            </w:r>
          </w:p>
        </w:tc>
      </w:tr>
      <w:tr w14:paraId="76116A92">
        <w:tblPrEx>
          <w:tblCellMar>
            <w:top w:w="0" w:type="dxa"/>
            <w:left w:w="108" w:type="dxa"/>
            <w:bottom w:w="0" w:type="dxa"/>
            <w:right w:w="108" w:type="dxa"/>
          </w:tblCellMar>
        </w:tblPrEx>
        <w:trPr>
          <w:trHeight w:val="563" w:hRule="atLeast"/>
        </w:trPr>
        <w:tc>
          <w:tcPr>
            <w:tcW w:w="0" w:type="auto"/>
            <w:vMerge w:val="continue"/>
            <w:tcBorders>
              <w:top w:val="nil"/>
              <w:left w:val="single" w:color="auto" w:sz="4" w:space="0"/>
              <w:bottom w:val="single" w:color="auto" w:sz="4" w:space="0"/>
              <w:right w:val="single" w:color="auto" w:sz="4" w:space="0"/>
            </w:tcBorders>
            <w:vAlign w:val="center"/>
          </w:tcPr>
          <w:p w14:paraId="77125A2E">
            <w:pPr>
              <w:jc w:val="left"/>
              <w:rPr>
                <w:rFonts w:ascii="宋体" w:hAnsi="宋体" w:cs="Arial"/>
                <w:color w:val="333333"/>
                <w:kern w:val="0"/>
                <w:sz w:val="22"/>
                <w:szCs w:val="22"/>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AB3527A">
            <w:pPr>
              <w:jc w:val="center"/>
              <w:rPr>
                <w:rFonts w:ascii="宋体" w:hAnsi="宋体" w:cs="Arial"/>
                <w:color w:val="333333"/>
                <w:kern w:val="0"/>
                <w:sz w:val="22"/>
                <w:szCs w:val="22"/>
              </w:rPr>
            </w:pPr>
            <w:r>
              <w:rPr>
                <w:rFonts w:hint="eastAsia" w:ascii="宋体" w:hAnsi="宋体" w:cs="Arial"/>
                <w:color w:val="333333"/>
                <w:kern w:val="0"/>
                <w:sz w:val="22"/>
                <w:szCs w:val="22"/>
              </w:rPr>
              <w:t>财务管理</w:t>
            </w:r>
          </w:p>
        </w:tc>
        <w:tc>
          <w:tcPr>
            <w:tcW w:w="0" w:type="auto"/>
            <w:tcBorders>
              <w:top w:val="nil"/>
              <w:left w:val="nil"/>
              <w:bottom w:val="single" w:color="auto" w:sz="4" w:space="0"/>
              <w:right w:val="single" w:color="auto" w:sz="4" w:space="0"/>
            </w:tcBorders>
            <w:shd w:val="clear" w:color="000000" w:fill="FFFFFF"/>
            <w:vAlign w:val="center"/>
          </w:tcPr>
          <w:p w14:paraId="325A5552">
            <w:pPr>
              <w:jc w:val="left"/>
              <w:rPr>
                <w:rFonts w:ascii="宋体" w:hAnsi="宋体" w:cs="Arial"/>
                <w:color w:val="333333"/>
                <w:kern w:val="0"/>
                <w:sz w:val="22"/>
                <w:szCs w:val="22"/>
              </w:rPr>
            </w:pPr>
            <w:r>
              <w:rPr>
                <w:rFonts w:hint="eastAsia" w:ascii="宋体" w:hAnsi="宋体" w:cs="Arial"/>
                <w:color w:val="333333"/>
                <w:kern w:val="0"/>
                <w:sz w:val="22"/>
                <w:szCs w:val="22"/>
              </w:rPr>
              <w:t>财务管理制度健全性</w:t>
            </w:r>
          </w:p>
        </w:tc>
        <w:tc>
          <w:tcPr>
            <w:tcW w:w="0" w:type="auto"/>
            <w:tcBorders>
              <w:top w:val="nil"/>
              <w:left w:val="nil"/>
              <w:bottom w:val="single" w:color="auto" w:sz="4" w:space="0"/>
              <w:right w:val="single" w:color="auto" w:sz="4" w:space="0"/>
            </w:tcBorders>
            <w:shd w:val="clear" w:color="000000" w:fill="FFFFFF"/>
            <w:vAlign w:val="center"/>
          </w:tcPr>
          <w:p w14:paraId="08E3576A">
            <w:pPr>
              <w:jc w:val="center"/>
              <w:rPr>
                <w:rFonts w:ascii="宋体" w:hAnsi="宋体" w:cs="Arial"/>
                <w:color w:val="333333"/>
                <w:kern w:val="0"/>
                <w:sz w:val="22"/>
                <w:szCs w:val="22"/>
              </w:rPr>
            </w:pPr>
            <w:r>
              <w:rPr>
                <w:rFonts w:hint="eastAsia" w:ascii="宋体" w:hAnsi="宋体" w:cs="Arial"/>
                <w:color w:val="333333"/>
                <w:kern w:val="0"/>
                <w:sz w:val="22"/>
                <w:szCs w:val="22"/>
              </w:rPr>
              <w:t>健全</w:t>
            </w:r>
          </w:p>
        </w:tc>
        <w:tc>
          <w:tcPr>
            <w:tcW w:w="0" w:type="auto"/>
            <w:tcBorders>
              <w:top w:val="nil"/>
              <w:left w:val="nil"/>
              <w:bottom w:val="single" w:color="auto" w:sz="4" w:space="0"/>
              <w:right w:val="single" w:color="auto" w:sz="4" w:space="0"/>
            </w:tcBorders>
            <w:shd w:val="clear" w:color="auto" w:fill="auto"/>
            <w:vAlign w:val="center"/>
          </w:tcPr>
          <w:p w14:paraId="485E6E62">
            <w:pPr>
              <w:jc w:val="center"/>
              <w:rPr>
                <w:rFonts w:ascii="宋体" w:hAnsi="宋体" w:cs="Arial"/>
                <w:color w:val="000000"/>
                <w:kern w:val="0"/>
                <w:sz w:val="22"/>
                <w:szCs w:val="22"/>
              </w:rPr>
            </w:pPr>
            <w:r>
              <w:rPr>
                <w:rFonts w:hint="eastAsia" w:ascii="宋体" w:hAnsi="宋体" w:cs="Arial"/>
                <w:color w:val="000000"/>
                <w:kern w:val="0"/>
                <w:sz w:val="22"/>
                <w:szCs w:val="22"/>
              </w:rPr>
              <w:t>100%</w:t>
            </w:r>
          </w:p>
        </w:tc>
        <w:tc>
          <w:tcPr>
            <w:tcW w:w="0" w:type="auto"/>
            <w:tcBorders>
              <w:top w:val="nil"/>
              <w:left w:val="nil"/>
              <w:bottom w:val="single" w:color="auto" w:sz="4" w:space="0"/>
              <w:right w:val="single" w:color="auto" w:sz="4" w:space="0"/>
            </w:tcBorders>
            <w:shd w:val="clear" w:color="auto" w:fill="auto"/>
            <w:vAlign w:val="center"/>
          </w:tcPr>
          <w:p w14:paraId="4C9D9DF7">
            <w:pPr>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0" w:type="auto"/>
            <w:tcBorders>
              <w:top w:val="nil"/>
              <w:left w:val="nil"/>
              <w:bottom w:val="single" w:color="auto" w:sz="4" w:space="0"/>
              <w:right w:val="single" w:color="auto" w:sz="4" w:space="0"/>
            </w:tcBorders>
            <w:shd w:val="clear" w:color="000000" w:fill="FFFFFF"/>
            <w:vAlign w:val="center"/>
          </w:tcPr>
          <w:p w14:paraId="63E99DE0">
            <w:pPr>
              <w:jc w:val="center"/>
              <w:rPr>
                <w:rFonts w:ascii="宋体" w:hAnsi="宋体" w:cs="Arial"/>
                <w:color w:val="333333"/>
                <w:kern w:val="0"/>
                <w:sz w:val="22"/>
                <w:szCs w:val="22"/>
              </w:rPr>
            </w:pPr>
            <w:r>
              <w:rPr>
                <w:rFonts w:hint="eastAsia" w:ascii="宋体" w:hAnsi="宋体" w:cs="Arial"/>
                <w:color w:val="333333"/>
                <w:kern w:val="0"/>
                <w:sz w:val="22"/>
                <w:szCs w:val="22"/>
              </w:rPr>
              <w:t>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5C01A363">
            <w:pPr>
              <w:jc w:val="left"/>
              <w:rPr>
                <w:rFonts w:ascii="宋体" w:hAnsi="宋体" w:cs="Arial"/>
                <w:color w:val="333333"/>
                <w:kern w:val="0"/>
                <w:sz w:val="22"/>
                <w:szCs w:val="22"/>
              </w:rPr>
            </w:pPr>
            <w:r>
              <w:rPr>
                <w:rFonts w:hint="eastAsia" w:ascii="宋体" w:hAnsi="宋体" w:cs="Arial"/>
                <w:color w:val="333333"/>
                <w:kern w:val="0"/>
                <w:sz w:val="22"/>
                <w:szCs w:val="22"/>
              </w:rPr>
              <w:t>　</w:t>
            </w:r>
          </w:p>
        </w:tc>
      </w:tr>
      <w:tr w14:paraId="6006BF46">
        <w:tblPrEx>
          <w:tblCellMar>
            <w:top w:w="0" w:type="dxa"/>
            <w:left w:w="108" w:type="dxa"/>
            <w:bottom w:w="0" w:type="dxa"/>
            <w:right w:w="108" w:type="dxa"/>
          </w:tblCellMar>
        </w:tblPrEx>
        <w:trPr>
          <w:trHeight w:val="563" w:hRule="atLeast"/>
        </w:trPr>
        <w:tc>
          <w:tcPr>
            <w:tcW w:w="0" w:type="auto"/>
            <w:vMerge w:val="continue"/>
            <w:tcBorders>
              <w:top w:val="nil"/>
              <w:left w:val="single" w:color="auto" w:sz="4" w:space="0"/>
              <w:bottom w:val="single" w:color="auto" w:sz="4" w:space="0"/>
              <w:right w:val="single" w:color="auto" w:sz="4" w:space="0"/>
            </w:tcBorders>
            <w:vAlign w:val="center"/>
          </w:tcPr>
          <w:p w14:paraId="001CA69F">
            <w:pPr>
              <w:jc w:val="left"/>
              <w:rPr>
                <w:rFonts w:ascii="宋体" w:hAnsi="宋体" w:cs="Arial"/>
                <w:color w:val="333333"/>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14:paraId="4684FF76">
            <w:pPr>
              <w:jc w:val="left"/>
              <w:rPr>
                <w:rFonts w:ascii="宋体" w:hAnsi="宋体" w:cs="Arial"/>
                <w:color w:val="333333"/>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14:paraId="6CE80EB1">
            <w:pPr>
              <w:jc w:val="left"/>
              <w:rPr>
                <w:rFonts w:ascii="宋体" w:hAnsi="宋体" w:cs="Arial"/>
                <w:color w:val="333333"/>
                <w:kern w:val="0"/>
                <w:sz w:val="22"/>
                <w:szCs w:val="22"/>
              </w:rPr>
            </w:pPr>
            <w:r>
              <w:rPr>
                <w:rFonts w:hint="eastAsia" w:ascii="宋体" w:hAnsi="宋体" w:cs="Arial"/>
                <w:color w:val="333333"/>
                <w:kern w:val="0"/>
                <w:sz w:val="22"/>
                <w:szCs w:val="22"/>
              </w:rPr>
              <w:t>资金使用规范性</w:t>
            </w:r>
          </w:p>
        </w:tc>
        <w:tc>
          <w:tcPr>
            <w:tcW w:w="0" w:type="auto"/>
            <w:tcBorders>
              <w:top w:val="nil"/>
              <w:left w:val="nil"/>
              <w:bottom w:val="single" w:color="auto" w:sz="4" w:space="0"/>
              <w:right w:val="single" w:color="auto" w:sz="4" w:space="0"/>
            </w:tcBorders>
            <w:shd w:val="clear" w:color="000000" w:fill="FFFFFF"/>
            <w:vAlign w:val="center"/>
          </w:tcPr>
          <w:p w14:paraId="3221614C">
            <w:pPr>
              <w:jc w:val="center"/>
              <w:rPr>
                <w:rFonts w:ascii="宋体" w:hAnsi="宋体" w:cs="Arial"/>
                <w:color w:val="333333"/>
                <w:kern w:val="0"/>
                <w:sz w:val="22"/>
                <w:szCs w:val="22"/>
              </w:rPr>
            </w:pPr>
            <w:r>
              <w:rPr>
                <w:rFonts w:hint="eastAsia" w:ascii="宋体" w:hAnsi="宋体" w:cs="Arial"/>
                <w:color w:val="333333"/>
                <w:kern w:val="0"/>
                <w:sz w:val="22"/>
                <w:szCs w:val="22"/>
              </w:rPr>
              <w:t>规范</w:t>
            </w:r>
          </w:p>
        </w:tc>
        <w:tc>
          <w:tcPr>
            <w:tcW w:w="0" w:type="auto"/>
            <w:tcBorders>
              <w:top w:val="nil"/>
              <w:left w:val="nil"/>
              <w:bottom w:val="single" w:color="auto" w:sz="4" w:space="0"/>
              <w:right w:val="single" w:color="auto" w:sz="4" w:space="0"/>
            </w:tcBorders>
            <w:shd w:val="clear" w:color="auto" w:fill="auto"/>
            <w:vAlign w:val="center"/>
          </w:tcPr>
          <w:p w14:paraId="0A5FEE0F">
            <w:pPr>
              <w:jc w:val="center"/>
              <w:rPr>
                <w:rFonts w:ascii="宋体" w:hAnsi="宋体" w:cs="Arial"/>
                <w:color w:val="000000"/>
                <w:kern w:val="0"/>
                <w:sz w:val="22"/>
                <w:szCs w:val="22"/>
              </w:rPr>
            </w:pPr>
            <w:r>
              <w:rPr>
                <w:rFonts w:hint="eastAsia" w:ascii="宋体" w:hAnsi="宋体" w:cs="Arial"/>
                <w:color w:val="000000"/>
                <w:kern w:val="0"/>
                <w:sz w:val="22"/>
                <w:szCs w:val="22"/>
              </w:rPr>
              <w:t>100%</w:t>
            </w:r>
          </w:p>
        </w:tc>
        <w:tc>
          <w:tcPr>
            <w:tcW w:w="0" w:type="auto"/>
            <w:tcBorders>
              <w:top w:val="nil"/>
              <w:left w:val="nil"/>
              <w:bottom w:val="single" w:color="auto" w:sz="4" w:space="0"/>
              <w:right w:val="single" w:color="auto" w:sz="4" w:space="0"/>
            </w:tcBorders>
            <w:shd w:val="clear" w:color="auto" w:fill="auto"/>
            <w:vAlign w:val="center"/>
          </w:tcPr>
          <w:p w14:paraId="18C7E84E">
            <w:pPr>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0" w:type="auto"/>
            <w:tcBorders>
              <w:top w:val="nil"/>
              <w:left w:val="nil"/>
              <w:bottom w:val="single" w:color="auto" w:sz="4" w:space="0"/>
              <w:right w:val="single" w:color="auto" w:sz="4" w:space="0"/>
            </w:tcBorders>
            <w:shd w:val="clear" w:color="000000" w:fill="FFFFFF"/>
            <w:vAlign w:val="center"/>
          </w:tcPr>
          <w:p w14:paraId="5AE350E3">
            <w:pPr>
              <w:jc w:val="center"/>
              <w:rPr>
                <w:rFonts w:ascii="宋体" w:hAnsi="宋体" w:cs="Arial"/>
                <w:color w:val="333333"/>
                <w:kern w:val="0"/>
                <w:sz w:val="22"/>
                <w:szCs w:val="22"/>
              </w:rPr>
            </w:pPr>
            <w:r>
              <w:rPr>
                <w:rFonts w:hint="eastAsia" w:ascii="宋体" w:hAnsi="宋体" w:cs="Arial"/>
                <w:color w:val="333333"/>
                <w:kern w:val="0"/>
                <w:sz w:val="22"/>
                <w:szCs w:val="22"/>
              </w:rPr>
              <w:t>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30D622B9">
            <w:pPr>
              <w:jc w:val="left"/>
              <w:rPr>
                <w:rFonts w:ascii="宋体" w:hAnsi="宋体" w:cs="Arial"/>
                <w:color w:val="333333"/>
                <w:kern w:val="0"/>
                <w:sz w:val="22"/>
                <w:szCs w:val="22"/>
              </w:rPr>
            </w:pPr>
            <w:r>
              <w:rPr>
                <w:rFonts w:hint="eastAsia" w:ascii="宋体" w:hAnsi="宋体" w:cs="Arial"/>
                <w:color w:val="333333"/>
                <w:kern w:val="0"/>
                <w:sz w:val="22"/>
                <w:szCs w:val="22"/>
              </w:rPr>
              <w:t>　</w:t>
            </w:r>
          </w:p>
        </w:tc>
      </w:tr>
      <w:tr w14:paraId="694F42D0">
        <w:tblPrEx>
          <w:tblCellMar>
            <w:top w:w="0" w:type="dxa"/>
            <w:left w:w="108" w:type="dxa"/>
            <w:bottom w:w="0" w:type="dxa"/>
            <w:right w:w="108" w:type="dxa"/>
          </w:tblCellMar>
        </w:tblPrEx>
        <w:trPr>
          <w:trHeight w:val="563" w:hRule="atLeast"/>
        </w:trPr>
        <w:tc>
          <w:tcPr>
            <w:tcW w:w="0" w:type="auto"/>
            <w:vMerge w:val="continue"/>
            <w:tcBorders>
              <w:top w:val="nil"/>
              <w:left w:val="single" w:color="auto" w:sz="4" w:space="0"/>
              <w:bottom w:val="single" w:color="auto" w:sz="4" w:space="0"/>
              <w:right w:val="single" w:color="auto" w:sz="4" w:space="0"/>
            </w:tcBorders>
            <w:vAlign w:val="center"/>
          </w:tcPr>
          <w:p w14:paraId="4E5DEE1D">
            <w:pPr>
              <w:jc w:val="left"/>
              <w:rPr>
                <w:rFonts w:ascii="宋体" w:hAnsi="宋体" w:cs="Arial"/>
                <w:color w:val="333333"/>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14:paraId="4C201564">
            <w:pPr>
              <w:jc w:val="center"/>
              <w:rPr>
                <w:rFonts w:ascii="宋体" w:hAnsi="宋体" w:cs="Arial"/>
                <w:color w:val="333333"/>
                <w:kern w:val="0"/>
                <w:sz w:val="22"/>
                <w:szCs w:val="22"/>
              </w:rPr>
            </w:pPr>
            <w:r>
              <w:rPr>
                <w:rFonts w:hint="eastAsia" w:ascii="宋体" w:hAnsi="宋体" w:cs="Arial"/>
                <w:color w:val="333333"/>
                <w:kern w:val="0"/>
                <w:sz w:val="22"/>
                <w:szCs w:val="22"/>
              </w:rPr>
              <w:t>采购管理</w:t>
            </w:r>
          </w:p>
        </w:tc>
        <w:tc>
          <w:tcPr>
            <w:tcW w:w="0" w:type="auto"/>
            <w:tcBorders>
              <w:top w:val="nil"/>
              <w:left w:val="nil"/>
              <w:bottom w:val="single" w:color="auto" w:sz="4" w:space="0"/>
              <w:right w:val="single" w:color="auto" w:sz="4" w:space="0"/>
            </w:tcBorders>
            <w:shd w:val="clear" w:color="000000" w:fill="FFFFFF"/>
            <w:vAlign w:val="center"/>
          </w:tcPr>
          <w:p w14:paraId="5D57F3CE">
            <w:pPr>
              <w:jc w:val="left"/>
              <w:rPr>
                <w:rFonts w:ascii="宋体" w:hAnsi="宋体" w:cs="Arial"/>
                <w:color w:val="333333"/>
                <w:kern w:val="0"/>
                <w:sz w:val="22"/>
                <w:szCs w:val="22"/>
              </w:rPr>
            </w:pPr>
            <w:r>
              <w:rPr>
                <w:rFonts w:hint="eastAsia" w:ascii="宋体" w:hAnsi="宋体" w:cs="Arial"/>
                <w:color w:val="333333"/>
                <w:kern w:val="0"/>
                <w:sz w:val="22"/>
                <w:szCs w:val="22"/>
              </w:rPr>
              <w:t>政府采购规范性</w:t>
            </w:r>
          </w:p>
        </w:tc>
        <w:tc>
          <w:tcPr>
            <w:tcW w:w="0" w:type="auto"/>
            <w:tcBorders>
              <w:top w:val="nil"/>
              <w:left w:val="nil"/>
              <w:bottom w:val="single" w:color="auto" w:sz="4" w:space="0"/>
              <w:right w:val="single" w:color="auto" w:sz="4" w:space="0"/>
            </w:tcBorders>
            <w:shd w:val="clear" w:color="000000" w:fill="FFFFFF"/>
            <w:vAlign w:val="center"/>
          </w:tcPr>
          <w:p w14:paraId="7C3C5631">
            <w:pPr>
              <w:jc w:val="center"/>
              <w:rPr>
                <w:rFonts w:ascii="宋体" w:hAnsi="宋体" w:cs="Arial"/>
                <w:color w:val="333333"/>
                <w:kern w:val="0"/>
                <w:sz w:val="22"/>
                <w:szCs w:val="22"/>
              </w:rPr>
            </w:pPr>
            <w:r>
              <w:rPr>
                <w:rFonts w:hint="eastAsia" w:ascii="宋体" w:hAnsi="宋体" w:cs="Arial"/>
                <w:color w:val="333333"/>
                <w:kern w:val="0"/>
                <w:sz w:val="22"/>
                <w:szCs w:val="22"/>
              </w:rPr>
              <w:t>规范</w:t>
            </w:r>
          </w:p>
        </w:tc>
        <w:tc>
          <w:tcPr>
            <w:tcW w:w="0" w:type="auto"/>
            <w:tcBorders>
              <w:top w:val="nil"/>
              <w:left w:val="nil"/>
              <w:bottom w:val="single" w:color="auto" w:sz="4" w:space="0"/>
              <w:right w:val="single" w:color="auto" w:sz="4" w:space="0"/>
            </w:tcBorders>
            <w:shd w:val="clear" w:color="auto" w:fill="auto"/>
            <w:vAlign w:val="center"/>
          </w:tcPr>
          <w:p w14:paraId="33A342AA">
            <w:pPr>
              <w:jc w:val="center"/>
              <w:rPr>
                <w:rFonts w:ascii="宋体" w:hAnsi="宋体" w:cs="Arial"/>
                <w:color w:val="000000"/>
                <w:kern w:val="0"/>
                <w:sz w:val="22"/>
                <w:szCs w:val="22"/>
              </w:rPr>
            </w:pPr>
            <w:r>
              <w:rPr>
                <w:rFonts w:hint="eastAsia" w:ascii="宋体" w:hAnsi="宋体" w:cs="Arial"/>
                <w:color w:val="000000"/>
                <w:kern w:val="0"/>
                <w:sz w:val="22"/>
                <w:szCs w:val="22"/>
              </w:rPr>
              <w:t>100%</w:t>
            </w:r>
          </w:p>
        </w:tc>
        <w:tc>
          <w:tcPr>
            <w:tcW w:w="0" w:type="auto"/>
            <w:tcBorders>
              <w:top w:val="nil"/>
              <w:left w:val="nil"/>
              <w:bottom w:val="single" w:color="auto" w:sz="4" w:space="0"/>
              <w:right w:val="single" w:color="auto" w:sz="4" w:space="0"/>
            </w:tcBorders>
            <w:shd w:val="clear" w:color="auto" w:fill="auto"/>
            <w:vAlign w:val="center"/>
          </w:tcPr>
          <w:p w14:paraId="5B85D637">
            <w:pPr>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0" w:type="auto"/>
            <w:tcBorders>
              <w:top w:val="nil"/>
              <w:left w:val="nil"/>
              <w:bottom w:val="single" w:color="auto" w:sz="4" w:space="0"/>
              <w:right w:val="single" w:color="auto" w:sz="4" w:space="0"/>
            </w:tcBorders>
            <w:shd w:val="clear" w:color="000000" w:fill="FFFFFF"/>
            <w:vAlign w:val="center"/>
          </w:tcPr>
          <w:p w14:paraId="375B0099">
            <w:pPr>
              <w:jc w:val="center"/>
              <w:rPr>
                <w:rFonts w:ascii="宋体" w:hAnsi="宋体" w:cs="Arial"/>
                <w:color w:val="333333"/>
                <w:kern w:val="0"/>
                <w:sz w:val="22"/>
                <w:szCs w:val="22"/>
              </w:rPr>
            </w:pPr>
            <w:r>
              <w:rPr>
                <w:rFonts w:hint="eastAsia" w:ascii="宋体" w:hAnsi="宋体" w:cs="Arial"/>
                <w:color w:val="333333"/>
                <w:kern w:val="0"/>
                <w:sz w:val="22"/>
                <w:szCs w:val="22"/>
              </w:rPr>
              <w:t>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0F6C935F">
            <w:pPr>
              <w:jc w:val="left"/>
              <w:rPr>
                <w:rFonts w:ascii="宋体" w:hAnsi="宋体" w:cs="Arial"/>
                <w:color w:val="333333"/>
                <w:kern w:val="0"/>
                <w:sz w:val="22"/>
                <w:szCs w:val="22"/>
              </w:rPr>
            </w:pPr>
            <w:r>
              <w:rPr>
                <w:rFonts w:hint="eastAsia" w:ascii="宋体" w:hAnsi="宋体" w:cs="Arial"/>
                <w:color w:val="333333"/>
                <w:kern w:val="0"/>
                <w:sz w:val="22"/>
                <w:szCs w:val="22"/>
              </w:rPr>
              <w:t>　</w:t>
            </w:r>
          </w:p>
        </w:tc>
      </w:tr>
      <w:tr w14:paraId="15A13883">
        <w:tblPrEx>
          <w:tblCellMar>
            <w:top w:w="0" w:type="dxa"/>
            <w:left w:w="108" w:type="dxa"/>
            <w:bottom w:w="0" w:type="dxa"/>
            <w:right w:w="108" w:type="dxa"/>
          </w:tblCellMar>
        </w:tblPrEx>
        <w:trPr>
          <w:trHeight w:val="563" w:hRule="atLeast"/>
        </w:trPr>
        <w:tc>
          <w:tcPr>
            <w:tcW w:w="0" w:type="auto"/>
            <w:vMerge w:val="continue"/>
            <w:tcBorders>
              <w:top w:val="nil"/>
              <w:left w:val="single" w:color="auto" w:sz="4" w:space="0"/>
              <w:bottom w:val="single" w:color="auto" w:sz="4" w:space="0"/>
              <w:right w:val="single" w:color="auto" w:sz="4" w:space="0"/>
            </w:tcBorders>
            <w:vAlign w:val="center"/>
          </w:tcPr>
          <w:p w14:paraId="200544C5">
            <w:pPr>
              <w:jc w:val="left"/>
              <w:rPr>
                <w:rFonts w:ascii="宋体" w:hAnsi="宋体" w:cs="Arial"/>
                <w:color w:val="333333"/>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14:paraId="2313B3FF">
            <w:pPr>
              <w:jc w:val="center"/>
              <w:rPr>
                <w:rFonts w:ascii="宋体" w:hAnsi="宋体" w:cs="Arial"/>
                <w:color w:val="333333"/>
                <w:kern w:val="0"/>
                <w:sz w:val="22"/>
                <w:szCs w:val="22"/>
              </w:rPr>
            </w:pPr>
            <w:r>
              <w:rPr>
                <w:rFonts w:hint="eastAsia" w:ascii="宋体" w:hAnsi="宋体" w:cs="Arial"/>
                <w:color w:val="333333"/>
                <w:kern w:val="0"/>
                <w:sz w:val="22"/>
                <w:szCs w:val="22"/>
              </w:rPr>
              <w:t>资产管理</w:t>
            </w:r>
          </w:p>
        </w:tc>
        <w:tc>
          <w:tcPr>
            <w:tcW w:w="0" w:type="auto"/>
            <w:tcBorders>
              <w:top w:val="nil"/>
              <w:left w:val="nil"/>
              <w:bottom w:val="single" w:color="auto" w:sz="4" w:space="0"/>
              <w:right w:val="single" w:color="auto" w:sz="4" w:space="0"/>
            </w:tcBorders>
            <w:shd w:val="clear" w:color="000000" w:fill="FFFFFF"/>
            <w:vAlign w:val="center"/>
          </w:tcPr>
          <w:p w14:paraId="40C53679">
            <w:pPr>
              <w:jc w:val="left"/>
              <w:rPr>
                <w:rFonts w:ascii="宋体" w:hAnsi="宋体" w:cs="Arial"/>
                <w:color w:val="333333"/>
                <w:kern w:val="0"/>
                <w:sz w:val="22"/>
                <w:szCs w:val="22"/>
              </w:rPr>
            </w:pPr>
            <w:r>
              <w:rPr>
                <w:rFonts w:hint="eastAsia" w:ascii="宋体" w:hAnsi="宋体" w:cs="Arial"/>
                <w:color w:val="333333"/>
                <w:kern w:val="0"/>
                <w:sz w:val="22"/>
                <w:szCs w:val="22"/>
              </w:rPr>
              <w:t>资产管理规范性</w:t>
            </w:r>
          </w:p>
        </w:tc>
        <w:tc>
          <w:tcPr>
            <w:tcW w:w="0" w:type="auto"/>
            <w:tcBorders>
              <w:top w:val="nil"/>
              <w:left w:val="nil"/>
              <w:bottom w:val="single" w:color="auto" w:sz="4" w:space="0"/>
              <w:right w:val="single" w:color="auto" w:sz="4" w:space="0"/>
            </w:tcBorders>
            <w:shd w:val="clear" w:color="000000" w:fill="FFFFFF"/>
            <w:vAlign w:val="center"/>
          </w:tcPr>
          <w:p w14:paraId="6474532C">
            <w:pPr>
              <w:jc w:val="center"/>
              <w:rPr>
                <w:rFonts w:ascii="宋体" w:hAnsi="宋体" w:cs="Arial"/>
                <w:color w:val="333333"/>
                <w:kern w:val="0"/>
                <w:sz w:val="22"/>
                <w:szCs w:val="22"/>
              </w:rPr>
            </w:pPr>
            <w:r>
              <w:rPr>
                <w:rFonts w:hint="eastAsia" w:ascii="宋体" w:hAnsi="宋体" w:cs="Arial"/>
                <w:color w:val="333333"/>
                <w:kern w:val="0"/>
                <w:sz w:val="22"/>
                <w:szCs w:val="22"/>
              </w:rPr>
              <w:t>规范</w:t>
            </w:r>
          </w:p>
        </w:tc>
        <w:tc>
          <w:tcPr>
            <w:tcW w:w="0" w:type="auto"/>
            <w:tcBorders>
              <w:top w:val="nil"/>
              <w:left w:val="nil"/>
              <w:bottom w:val="single" w:color="auto" w:sz="4" w:space="0"/>
              <w:right w:val="single" w:color="auto" w:sz="4" w:space="0"/>
            </w:tcBorders>
            <w:shd w:val="clear" w:color="auto" w:fill="auto"/>
            <w:vAlign w:val="center"/>
          </w:tcPr>
          <w:p w14:paraId="2D588242">
            <w:pPr>
              <w:jc w:val="center"/>
              <w:rPr>
                <w:rFonts w:ascii="宋体" w:hAnsi="宋体" w:cs="Arial"/>
                <w:color w:val="000000"/>
                <w:kern w:val="0"/>
                <w:sz w:val="22"/>
                <w:szCs w:val="22"/>
              </w:rPr>
            </w:pPr>
            <w:r>
              <w:rPr>
                <w:rFonts w:hint="eastAsia" w:ascii="宋体" w:hAnsi="宋体" w:cs="Arial"/>
                <w:color w:val="000000"/>
                <w:kern w:val="0"/>
                <w:sz w:val="22"/>
                <w:szCs w:val="22"/>
              </w:rPr>
              <w:t>100%</w:t>
            </w:r>
          </w:p>
        </w:tc>
        <w:tc>
          <w:tcPr>
            <w:tcW w:w="0" w:type="auto"/>
            <w:tcBorders>
              <w:top w:val="nil"/>
              <w:left w:val="nil"/>
              <w:bottom w:val="single" w:color="auto" w:sz="4" w:space="0"/>
              <w:right w:val="single" w:color="auto" w:sz="4" w:space="0"/>
            </w:tcBorders>
            <w:shd w:val="clear" w:color="auto" w:fill="auto"/>
            <w:vAlign w:val="center"/>
          </w:tcPr>
          <w:p w14:paraId="6DEDD3D3">
            <w:pPr>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0" w:type="auto"/>
            <w:tcBorders>
              <w:top w:val="nil"/>
              <w:left w:val="nil"/>
              <w:bottom w:val="single" w:color="auto" w:sz="4" w:space="0"/>
              <w:right w:val="single" w:color="auto" w:sz="4" w:space="0"/>
            </w:tcBorders>
            <w:shd w:val="clear" w:color="000000" w:fill="FFFFFF"/>
            <w:vAlign w:val="center"/>
          </w:tcPr>
          <w:p w14:paraId="64715FCA">
            <w:pPr>
              <w:jc w:val="center"/>
              <w:rPr>
                <w:rFonts w:ascii="宋体" w:hAnsi="宋体" w:cs="Arial"/>
                <w:color w:val="333333"/>
                <w:kern w:val="0"/>
                <w:sz w:val="22"/>
                <w:szCs w:val="22"/>
              </w:rPr>
            </w:pPr>
            <w:r>
              <w:rPr>
                <w:rFonts w:hint="eastAsia" w:ascii="宋体" w:hAnsi="宋体" w:cs="Arial"/>
                <w:color w:val="333333"/>
                <w:kern w:val="0"/>
                <w:sz w:val="22"/>
                <w:szCs w:val="22"/>
              </w:rPr>
              <w:t>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08994FFA">
            <w:pPr>
              <w:jc w:val="left"/>
              <w:rPr>
                <w:rFonts w:ascii="宋体" w:hAnsi="宋体" w:cs="Arial"/>
                <w:color w:val="333333"/>
                <w:kern w:val="0"/>
                <w:sz w:val="22"/>
                <w:szCs w:val="22"/>
              </w:rPr>
            </w:pPr>
            <w:r>
              <w:rPr>
                <w:rFonts w:hint="eastAsia" w:ascii="宋体" w:hAnsi="宋体" w:cs="Arial"/>
                <w:color w:val="333333"/>
                <w:kern w:val="0"/>
                <w:sz w:val="22"/>
                <w:szCs w:val="22"/>
              </w:rPr>
              <w:t>　</w:t>
            </w:r>
          </w:p>
        </w:tc>
      </w:tr>
      <w:tr w14:paraId="13C092C5">
        <w:tblPrEx>
          <w:tblCellMar>
            <w:top w:w="0" w:type="dxa"/>
            <w:left w:w="108" w:type="dxa"/>
            <w:bottom w:w="0" w:type="dxa"/>
            <w:right w:w="108" w:type="dxa"/>
          </w:tblCellMar>
        </w:tblPrEx>
        <w:trPr>
          <w:trHeight w:val="563" w:hRule="atLeast"/>
        </w:trPr>
        <w:tc>
          <w:tcPr>
            <w:tcW w:w="0" w:type="auto"/>
            <w:vMerge w:val="continue"/>
            <w:tcBorders>
              <w:top w:val="nil"/>
              <w:left w:val="single" w:color="auto" w:sz="4" w:space="0"/>
              <w:bottom w:val="single" w:color="auto" w:sz="4" w:space="0"/>
              <w:right w:val="single" w:color="auto" w:sz="4" w:space="0"/>
            </w:tcBorders>
            <w:vAlign w:val="center"/>
          </w:tcPr>
          <w:p w14:paraId="27774516">
            <w:pPr>
              <w:jc w:val="left"/>
              <w:rPr>
                <w:rFonts w:ascii="宋体" w:hAnsi="宋体" w:cs="Arial"/>
                <w:color w:val="333333"/>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14:paraId="5408E237">
            <w:pPr>
              <w:jc w:val="center"/>
              <w:rPr>
                <w:rFonts w:ascii="宋体" w:hAnsi="宋体" w:cs="Arial"/>
                <w:color w:val="333333"/>
                <w:kern w:val="0"/>
                <w:sz w:val="22"/>
                <w:szCs w:val="22"/>
              </w:rPr>
            </w:pPr>
            <w:r>
              <w:rPr>
                <w:rFonts w:hint="eastAsia" w:ascii="宋体" w:hAnsi="宋体" w:cs="Arial"/>
                <w:color w:val="333333"/>
                <w:kern w:val="0"/>
                <w:sz w:val="22"/>
                <w:szCs w:val="22"/>
              </w:rPr>
              <w:t>人员管理</w:t>
            </w:r>
          </w:p>
        </w:tc>
        <w:tc>
          <w:tcPr>
            <w:tcW w:w="0" w:type="auto"/>
            <w:tcBorders>
              <w:top w:val="nil"/>
              <w:left w:val="nil"/>
              <w:bottom w:val="single" w:color="auto" w:sz="4" w:space="0"/>
              <w:right w:val="single" w:color="auto" w:sz="4" w:space="0"/>
            </w:tcBorders>
            <w:shd w:val="clear" w:color="000000" w:fill="FFFFFF"/>
            <w:vAlign w:val="center"/>
          </w:tcPr>
          <w:p w14:paraId="46EA8BD5">
            <w:pPr>
              <w:jc w:val="left"/>
              <w:rPr>
                <w:rFonts w:ascii="宋体" w:hAnsi="宋体" w:cs="Arial"/>
                <w:color w:val="333333"/>
                <w:kern w:val="0"/>
                <w:sz w:val="22"/>
                <w:szCs w:val="22"/>
              </w:rPr>
            </w:pPr>
            <w:r>
              <w:rPr>
                <w:rFonts w:hint="eastAsia" w:ascii="宋体" w:hAnsi="宋体" w:cs="Arial"/>
                <w:color w:val="333333"/>
                <w:kern w:val="0"/>
                <w:sz w:val="22"/>
                <w:szCs w:val="22"/>
              </w:rPr>
              <w:t>在职人员控制率</w:t>
            </w:r>
          </w:p>
        </w:tc>
        <w:tc>
          <w:tcPr>
            <w:tcW w:w="0" w:type="auto"/>
            <w:tcBorders>
              <w:top w:val="nil"/>
              <w:left w:val="nil"/>
              <w:bottom w:val="single" w:color="auto" w:sz="4" w:space="0"/>
              <w:right w:val="single" w:color="auto" w:sz="4" w:space="0"/>
            </w:tcBorders>
            <w:shd w:val="clear" w:color="000000" w:fill="FFFFFF"/>
            <w:vAlign w:val="center"/>
          </w:tcPr>
          <w:p w14:paraId="2D7ECAF5">
            <w:pPr>
              <w:jc w:val="center"/>
              <w:rPr>
                <w:rFonts w:ascii="宋体" w:hAnsi="宋体" w:cs="Arial"/>
                <w:color w:val="333333"/>
                <w:kern w:val="0"/>
                <w:sz w:val="22"/>
                <w:szCs w:val="22"/>
              </w:rPr>
            </w:pPr>
            <w:r>
              <w:rPr>
                <w:rFonts w:hint="eastAsia" w:ascii="宋体" w:hAnsi="宋体" w:cs="Arial"/>
                <w:color w:val="333333"/>
                <w:kern w:val="0"/>
                <w:sz w:val="22"/>
                <w:szCs w:val="22"/>
              </w:rPr>
              <w:t>=100%</w:t>
            </w:r>
          </w:p>
        </w:tc>
        <w:tc>
          <w:tcPr>
            <w:tcW w:w="0" w:type="auto"/>
            <w:tcBorders>
              <w:top w:val="nil"/>
              <w:left w:val="nil"/>
              <w:bottom w:val="single" w:color="auto" w:sz="4" w:space="0"/>
              <w:right w:val="single" w:color="auto" w:sz="4" w:space="0"/>
            </w:tcBorders>
            <w:shd w:val="clear" w:color="auto" w:fill="auto"/>
            <w:vAlign w:val="center"/>
          </w:tcPr>
          <w:p w14:paraId="592CFD00">
            <w:pPr>
              <w:jc w:val="center"/>
              <w:rPr>
                <w:rFonts w:ascii="宋体" w:hAnsi="宋体" w:cs="Arial"/>
                <w:color w:val="000000"/>
                <w:kern w:val="0"/>
                <w:sz w:val="22"/>
                <w:szCs w:val="22"/>
              </w:rPr>
            </w:pPr>
            <w:r>
              <w:rPr>
                <w:rFonts w:hint="eastAsia" w:ascii="宋体" w:hAnsi="宋体" w:cs="Arial"/>
                <w:color w:val="000000"/>
                <w:kern w:val="0"/>
                <w:sz w:val="22"/>
                <w:szCs w:val="22"/>
              </w:rPr>
              <w:t>100%</w:t>
            </w:r>
          </w:p>
        </w:tc>
        <w:tc>
          <w:tcPr>
            <w:tcW w:w="0" w:type="auto"/>
            <w:tcBorders>
              <w:top w:val="nil"/>
              <w:left w:val="nil"/>
              <w:bottom w:val="single" w:color="auto" w:sz="4" w:space="0"/>
              <w:right w:val="single" w:color="auto" w:sz="4" w:space="0"/>
            </w:tcBorders>
            <w:shd w:val="clear" w:color="auto" w:fill="auto"/>
            <w:vAlign w:val="center"/>
          </w:tcPr>
          <w:p w14:paraId="341A560D">
            <w:pPr>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0" w:type="auto"/>
            <w:tcBorders>
              <w:top w:val="nil"/>
              <w:left w:val="nil"/>
              <w:bottom w:val="single" w:color="auto" w:sz="4" w:space="0"/>
              <w:right w:val="single" w:color="auto" w:sz="4" w:space="0"/>
            </w:tcBorders>
            <w:shd w:val="clear" w:color="000000" w:fill="FFFFFF"/>
            <w:vAlign w:val="center"/>
          </w:tcPr>
          <w:p w14:paraId="7DADCAB7">
            <w:pPr>
              <w:jc w:val="center"/>
              <w:rPr>
                <w:rFonts w:ascii="宋体" w:hAnsi="宋体" w:cs="Arial"/>
                <w:color w:val="333333"/>
                <w:kern w:val="0"/>
                <w:sz w:val="22"/>
                <w:szCs w:val="22"/>
              </w:rPr>
            </w:pPr>
            <w:r>
              <w:rPr>
                <w:rFonts w:hint="eastAsia" w:ascii="宋体" w:hAnsi="宋体" w:cs="Arial"/>
                <w:color w:val="333333"/>
                <w:kern w:val="0"/>
                <w:sz w:val="22"/>
                <w:szCs w:val="22"/>
              </w:rPr>
              <w:t>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1F68D250">
            <w:pPr>
              <w:jc w:val="left"/>
              <w:rPr>
                <w:rFonts w:ascii="宋体" w:hAnsi="宋体" w:cs="Arial"/>
                <w:color w:val="333333"/>
                <w:kern w:val="0"/>
                <w:sz w:val="22"/>
                <w:szCs w:val="22"/>
              </w:rPr>
            </w:pPr>
            <w:r>
              <w:rPr>
                <w:rFonts w:hint="eastAsia" w:ascii="宋体" w:hAnsi="宋体" w:cs="Arial"/>
                <w:color w:val="333333"/>
                <w:kern w:val="0"/>
                <w:sz w:val="22"/>
                <w:szCs w:val="22"/>
              </w:rPr>
              <w:t>　</w:t>
            </w:r>
          </w:p>
        </w:tc>
      </w:tr>
      <w:tr w14:paraId="02BFF076">
        <w:tblPrEx>
          <w:tblCellMar>
            <w:top w:w="0" w:type="dxa"/>
            <w:left w:w="108" w:type="dxa"/>
            <w:bottom w:w="0" w:type="dxa"/>
            <w:right w:w="108" w:type="dxa"/>
          </w:tblCellMar>
        </w:tblPrEx>
        <w:trPr>
          <w:trHeight w:val="563" w:hRule="atLeast"/>
        </w:trPr>
        <w:tc>
          <w:tcPr>
            <w:tcW w:w="0" w:type="auto"/>
            <w:vMerge w:val="continue"/>
            <w:tcBorders>
              <w:top w:val="nil"/>
              <w:left w:val="single" w:color="auto" w:sz="4" w:space="0"/>
              <w:bottom w:val="single" w:color="auto" w:sz="4" w:space="0"/>
              <w:right w:val="single" w:color="auto" w:sz="4" w:space="0"/>
            </w:tcBorders>
            <w:vAlign w:val="center"/>
          </w:tcPr>
          <w:p w14:paraId="6AD08D70">
            <w:pPr>
              <w:jc w:val="left"/>
              <w:rPr>
                <w:rFonts w:ascii="宋体" w:hAnsi="宋体" w:cs="Arial"/>
                <w:color w:val="333333"/>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14:paraId="3F0C1FFB">
            <w:pPr>
              <w:jc w:val="center"/>
              <w:rPr>
                <w:rFonts w:ascii="宋体" w:hAnsi="宋体" w:cs="Arial"/>
                <w:color w:val="333333"/>
                <w:kern w:val="0"/>
                <w:sz w:val="22"/>
                <w:szCs w:val="22"/>
              </w:rPr>
            </w:pPr>
            <w:r>
              <w:rPr>
                <w:rFonts w:hint="eastAsia" w:ascii="宋体" w:hAnsi="宋体" w:cs="Arial"/>
                <w:color w:val="333333"/>
                <w:kern w:val="0"/>
                <w:sz w:val="22"/>
                <w:szCs w:val="22"/>
              </w:rPr>
              <w:t>重点工作管理</w:t>
            </w:r>
          </w:p>
        </w:tc>
        <w:tc>
          <w:tcPr>
            <w:tcW w:w="0" w:type="auto"/>
            <w:tcBorders>
              <w:top w:val="nil"/>
              <w:left w:val="nil"/>
              <w:bottom w:val="single" w:color="auto" w:sz="4" w:space="0"/>
              <w:right w:val="single" w:color="auto" w:sz="4" w:space="0"/>
            </w:tcBorders>
            <w:shd w:val="clear" w:color="000000" w:fill="FFFFFF"/>
            <w:vAlign w:val="center"/>
          </w:tcPr>
          <w:p w14:paraId="4F0D3765">
            <w:pPr>
              <w:jc w:val="left"/>
              <w:rPr>
                <w:rFonts w:ascii="宋体" w:hAnsi="宋体" w:cs="Arial"/>
                <w:color w:val="333333"/>
                <w:kern w:val="0"/>
                <w:sz w:val="22"/>
                <w:szCs w:val="22"/>
              </w:rPr>
            </w:pPr>
            <w:r>
              <w:rPr>
                <w:rFonts w:hint="eastAsia" w:ascii="宋体" w:hAnsi="宋体" w:cs="Arial"/>
                <w:color w:val="333333"/>
                <w:kern w:val="0"/>
                <w:sz w:val="22"/>
                <w:szCs w:val="22"/>
              </w:rPr>
              <w:t>重点工作管理制度健全性</w:t>
            </w:r>
          </w:p>
        </w:tc>
        <w:tc>
          <w:tcPr>
            <w:tcW w:w="0" w:type="auto"/>
            <w:tcBorders>
              <w:top w:val="nil"/>
              <w:left w:val="nil"/>
              <w:bottom w:val="single" w:color="auto" w:sz="4" w:space="0"/>
              <w:right w:val="single" w:color="auto" w:sz="4" w:space="0"/>
            </w:tcBorders>
            <w:shd w:val="clear" w:color="000000" w:fill="FFFFFF"/>
            <w:vAlign w:val="center"/>
          </w:tcPr>
          <w:p w14:paraId="601FC34A">
            <w:pPr>
              <w:jc w:val="center"/>
              <w:rPr>
                <w:rFonts w:ascii="宋体" w:hAnsi="宋体" w:cs="Arial"/>
                <w:color w:val="333333"/>
                <w:kern w:val="0"/>
                <w:sz w:val="22"/>
                <w:szCs w:val="22"/>
              </w:rPr>
            </w:pPr>
            <w:r>
              <w:rPr>
                <w:rFonts w:hint="eastAsia" w:ascii="宋体" w:hAnsi="宋体" w:cs="Arial"/>
                <w:color w:val="333333"/>
                <w:kern w:val="0"/>
                <w:sz w:val="22"/>
                <w:szCs w:val="22"/>
              </w:rPr>
              <w:t>健全</w:t>
            </w:r>
          </w:p>
        </w:tc>
        <w:tc>
          <w:tcPr>
            <w:tcW w:w="0" w:type="auto"/>
            <w:tcBorders>
              <w:top w:val="nil"/>
              <w:left w:val="nil"/>
              <w:bottom w:val="single" w:color="auto" w:sz="4" w:space="0"/>
              <w:right w:val="single" w:color="auto" w:sz="4" w:space="0"/>
            </w:tcBorders>
            <w:shd w:val="clear" w:color="auto" w:fill="auto"/>
            <w:vAlign w:val="center"/>
          </w:tcPr>
          <w:p w14:paraId="3BC61035">
            <w:pPr>
              <w:jc w:val="center"/>
              <w:rPr>
                <w:rFonts w:ascii="宋体" w:hAnsi="宋体" w:cs="Arial"/>
                <w:color w:val="000000"/>
                <w:kern w:val="0"/>
                <w:sz w:val="22"/>
                <w:szCs w:val="22"/>
              </w:rPr>
            </w:pPr>
            <w:r>
              <w:rPr>
                <w:rFonts w:hint="eastAsia" w:ascii="宋体" w:hAnsi="宋体" w:cs="Arial"/>
                <w:color w:val="000000"/>
                <w:kern w:val="0"/>
                <w:sz w:val="22"/>
                <w:szCs w:val="22"/>
              </w:rPr>
              <w:t>100%</w:t>
            </w:r>
          </w:p>
        </w:tc>
        <w:tc>
          <w:tcPr>
            <w:tcW w:w="0" w:type="auto"/>
            <w:tcBorders>
              <w:top w:val="nil"/>
              <w:left w:val="nil"/>
              <w:bottom w:val="single" w:color="auto" w:sz="4" w:space="0"/>
              <w:right w:val="single" w:color="auto" w:sz="4" w:space="0"/>
            </w:tcBorders>
            <w:shd w:val="clear" w:color="auto" w:fill="auto"/>
            <w:vAlign w:val="center"/>
          </w:tcPr>
          <w:p w14:paraId="1B6C2389">
            <w:pPr>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0" w:type="auto"/>
            <w:tcBorders>
              <w:top w:val="nil"/>
              <w:left w:val="nil"/>
              <w:bottom w:val="single" w:color="auto" w:sz="4" w:space="0"/>
              <w:right w:val="single" w:color="auto" w:sz="4" w:space="0"/>
            </w:tcBorders>
            <w:shd w:val="clear" w:color="000000" w:fill="FFFFFF"/>
            <w:vAlign w:val="center"/>
          </w:tcPr>
          <w:p w14:paraId="1161FC00">
            <w:pPr>
              <w:jc w:val="center"/>
              <w:rPr>
                <w:rFonts w:ascii="宋体" w:hAnsi="宋体" w:cs="Arial"/>
                <w:color w:val="333333"/>
                <w:kern w:val="0"/>
                <w:sz w:val="22"/>
                <w:szCs w:val="22"/>
              </w:rPr>
            </w:pPr>
            <w:r>
              <w:rPr>
                <w:rFonts w:hint="eastAsia" w:ascii="宋体" w:hAnsi="宋体" w:cs="Arial"/>
                <w:color w:val="333333"/>
                <w:kern w:val="0"/>
                <w:sz w:val="22"/>
                <w:szCs w:val="22"/>
              </w:rPr>
              <w:t>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66AD91D5">
            <w:pPr>
              <w:jc w:val="left"/>
              <w:rPr>
                <w:rFonts w:ascii="宋体" w:hAnsi="宋体" w:cs="Arial"/>
                <w:color w:val="333333"/>
                <w:kern w:val="0"/>
                <w:sz w:val="22"/>
                <w:szCs w:val="22"/>
              </w:rPr>
            </w:pPr>
            <w:r>
              <w:rPr>
                <w:rFonts w:hint="eastAsia" w:ascii="宋体" w:hAnsi="宋体" w:cs="Arial"/>
                <w:color w:val="333333"/>
                <w:kern w:val="0"/>
                <w:sz w:val="22"/>
                <w:szCs w:val="22"/>
              </w:rPr>
              <w:t>　</w:t>
            </w:r>
          </w:p>
        </w:tc>
      </w:tr>
      <w:tr w14:paraId="127C4CA2">
        <w:tblPrEx>
          <w:tblCellMar>
            <w:top w:w="0" w:type="dxa"/>
            <w:left w:w="108" w:type="dxa"/>
            <w:bottom w:w="0" w:type="dxa"/>
            <w:right w:w="108" w:type="dxa"/>
          </w:tblCellMar>
        </w:tblPrEx>
        <w:trPr>
          <w:trHeight w:val="563"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D5C2BCC">
            <w:pPr>
              <w:jc w:val="center"/>
              <w:rPr>
                <w:rFonts w:ascii="宋体" w:hAnsi="宋体" w:cs="Arial"/>
                <w:color w:val="333333"/>
                <w:kern w:val="0"/>
                <w:sz w:val="22"/>
                <w:szCs w:val="22"/>
              </w:rPr>
            </w:pPr>
            <w:r>
              <w:rPr>
                <w:rFonts w:hint="eastAsia" w:ascii="宋体" w:hAnsi="宋体" w:cs="Arial"/>
                <w:color w:val="333333"/>
                <w:kern w:val="0"/>
                <w:sz w:val="22"/>
                <w:szCs w:val="22"/>
              </w:rPr>
              <w:t>履职效果</w:t>
            </w:r>
          </w:p>
        </w:tc>
        <w:tc>
          <w:tcPr>
            <w:tcW w:w="0" w:type="auto"/>
            <w:tcBorders>
              <w:top w:val="nil"/>
              <w:left w:val="nil"/>
              <w:bottom w:val="single" w:color="auto" w:sz="4" w:space="0"/>
              <w:right w:val="single" w:color="auto" w:sz="4" w:space="0"/>
            </w:tcBorders>
            <w:shd w:val="clear" w:color="000000" w:fill="FFFFFF"/>
            <w:vAlign w:val="center"/>
          </w:tcPr>
          <w:p w14:paraId="4411D973">
            <w:pPr>
              <w:jc w:val="center"/>
              <w:rPr>
                <w:rFonts w:ascii="宋体" w:hAnsi="宋体" w:cs="Arial"/>
                <w:color w:val="333333"/>
                <w:kern w:val="0"/>
                <w:sz w:val="22"/>
                <w:szCs w:val="22"/>
              </w:rPr>
            </w:pPr>
            <w:r>
              <w:rPr>
                <w:rFonts w:hint="eastAsia" w:ascii="宋体" w:hAnsi="宋体" w:cs="Arial"/>
                <w:color w:val="333333"/>
                <w:kern w:val="0"/>
                <w:sz w:val="22"/>
                <w:szCs w:val="22"/>
              </w:rPr>
              <w:t>部门履职目标</w:t>
            </w:r>
          </w:p>
        </w:tc>
        <w:tc>
          <w:tcPr>
            <w:tcW w:w="0" w:type="auto"/>
            <w:tcBorders>
              <w:top w:val="nil"/>
              <w:left w:val="nil"/>
              <w:bottom w:val="single" w:color="auto" w:sz="4" w:space="0"/>
              <w:right w:val="single" w:color="auto" w:sz="4" w:space="0"/>
            </w:tcBorders>
            <w:shd w:val="clear" w:color="000000" w:fill="FFFFFF"/>
            <w:vAlign w:val="center"/>
          </w:tcPr>
          <w:p w14:paraId="02C34D66">
            <w:pPr>
              <w:jc w:val="left"/>
              <w:rPr>
                <w:rFonts w:ascii="宋体" w:hAnsi="宋体" w:cs="Arial"/>
                <w:color w:val="333333"/>
                <w:kern w:val="0"/>
                <w:sz w:val="22"/>
                <w:szCs w:val="22"/>
              </w:rPr>
            </w:pPr>
            <w:r>
              <w:rPr>
                <w:rFonts w:hint="eastAsia" w:ascii="宋体" w:hAnsi="宋体" w:cs="Arial"/>
                <w:color w:val="333333"/>
                <w:kern w:val="0"/>
                <w:sz w:val="22"/>
                <w:szCs w:val="22"/>
              </w:rPr>
              <w:t>是否完成年度考核指标</w:t>
            </w:r>
          </w:p>
        </w:tc>
        <w:tc>
          <w:tcPr>
            <w:tcW w:w="0" w:type="auto"/>
            <w:tcBorders>
              <w:top w:val="nil"/>
              <w:left w:val="nil"/>
              <w:bottom w:val="single" w:color="auto" w:sz="4" w:space="0"/>
              <w:right w:val="single" w:color="auto" w:sz="4" w:space="0"/>
            </w:tcBorders>
            <w:shd w:val="clear" w:color="000000" w:fill="FFFFFF"/>
            <w:vAlign w:val="center"/>
          </w:tcPr>
          <w:p w14:paraId="191F84F4">
            <w:pPr>
              <w:jc w:val="center"/>
              <w:rPr>
                <w:rFonts w:ascii="宋体" w:hAnsi="宋体" w:cs="Arial"/>
                <w:color w:val="333333"/>
                <w:kern w:val="0"/>
                <w:sz w:val="22"/>
                <w:szCs w:val="22"/>
              </w:rPr>
            </w:pPr>
            <w:r>
              <w:rPr>
                <w:rFonts w:hint="eastAsia" w:ascii="宋体" w:hAnsi="宋体" w:cs="Arial"/>
                <w:color w:val="333333"/>
                <w:kern w:val="0"/>
                <w:sz w:val="22"/>
                <w:szCs w:val="22"/>
              </w:rPr>
              <w:t>完成</w:t>
            </w:r>
          </w:p>
        </w:tc>
        <w:tc>
          <w:tcPr>
            <w:tcW w:w="0" w:type="auto"/>
            <w:tcBorders>
              <w:top w:val="nil"/>
              <w:left w:val="nil"/>
              <w:bottom w:val="single" w:color="auto" w:sz="4" w:space="0"/>
              <w:right w:val="single" w:color="auto" w:sz="4" w:space="0"/>
            </w:tcBorders>
            <w:shd w:val="clear" w:color="auto" w:fill="auto"/>
            <w:vAlign w:val="center"/>
          </w:tcPr>
          <w:p w14:paraId="244DC548">
            <w:pPr>
              <w:jc w:val="center"/>
              <w:rPr>
                <w:rFonts w:ascii="宋体" w:hAnsi="宋体" w:cs="Arial"/>
                <w:color w:val="000000"/>
                <w:kern w:val="0"/>
                <w:sz w:val="22"/>
                <w:szCs w:val="22"/>
              </w:rPr>
            </w:pPr>
            <w:r>
              <w:rPr>
                <w:rFonts w:hint="eastAsia" w:ascii="宋体" w:hAnsi="宋体" w:cs="Arial"/>
                <w:color w:val="000000"/>
                <w:kern w:val="0"/>
                <w:sz w:val="22"/>
                <w:szCs w:val="22"/>
              </w:rPr>
              <w:t>100%</w:t>
            </w:r>
          </w:p>
        </w:tc>
        <w:tc>
          <w:tcPr>
            <w:tcW w:w="0" w:type="auto"/>
            <w:tcBorders>
              <w:top w:val="nil"/>
              <w:left w:val="nil"/>
              <w:bottom w:val="single" w:color="auto" w:sz="4" w:space="0"/>
              <w:right w:val="single" w:color="auto" w:sz="4" w:space="0"/>
            </w:tcBorders>
            <w:shd w:val="clear" w:color="auto" w:fill="auto"/>
            <w:vAlign w:val="center"/>
          </w:tcPr>
          <w:p w14:paraId="16382FC0">
            <w:pPr>
              <w:jc w:val="center"/>
              <w:rPr>
                <w:rFonts w:ascii="宋体" w:hAnsi="宋体" w:cs="Arial"/>
                <w:color w:val="000000"/>
                <w:kern w:val="0"/>
                <w:sz w:val="22"/>
                <w:szCs w:val="22"/>
              </w:rPr>
            </w:pPr>
            <w:r>
              <w:rPr>
                <w:rFonts w:hint="eastAsia" w:ascii="宋体" w:hAnsi="宋体" w:cs="Arial"/>
                <w:color w:val="000000"/>
                <w:kern w:val="0"/>
                <w:sz w:val="22"/>
                <w:szCs w:val="22"/>
              </w:rPr>
              <w:t>10.8</w:t>
            </w:r>
          </w:p>
        </w:tc>
        <w:tc>
          <w:tcPr>
            <w:tcW w:w="0" w:type="auto"/>
            <w:tcBorders>
              <w:top w:val="nil"/>
              <w:left w:val="nil"/>
              <w:bottom w:val="single" w:color="auto" w:sz="4" w:space="0"/>
              <w:right w:val="single" w:color="auto" w:sz="4" w:space="0"/>
            </w:tcBorders>
            <w:shd w:val="clear" w:color="000000" w:fill="FFFFFF"/>
            <w:vAlign w:val="center"/>
          </w:tcPr>
          <w:p w14:paraId="1469D4D5">
            <w:pPr>
              <w:jc w:val="center"/>
              <w:rPr>
                <w:rFonts w:ascii="宋体" w:hAnsi="宋体" w:cs="Arial"/>
                <w:color w:val="333333"/>
                <w:kern w:val="0"/>
                <w:sz w:val="22"/>
                <w:szCs w:val="22"/>
              </w:rPr>
            </w:pPr>
            <w:r>
              <w:rPr>
                <w:rFonts w:hint="eastAsia" w:ascii="宋体" w:hAnsi="宋体" w:cs="Arial"/>
                <w:color w:val="333333"/>
                <w:kern w:val="0"/>
                <w:sz w:val="22"/>
                <w:szCs w:val="22"/>
              </w:rPr>
              <w:t>10.8</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0B1B1414">
            <w:pPr>
              <w:jc w:val="left"/>
              <w:rPr>
                <w:rFonts w:ascii="宋体" w:hAnsi="宋体" w:cs="Arial"/>
                <w:color w:val="333333"/>
                <w:kern w:val="0"/>
                <w:sz w:val="22"/>
                <w:szCs w:val="22"/>
              </w:rPr>
            </w:pPr>
            <w:r>
              <w:rPr>
                <w:rFonts w:hint="eastAsia" w:ascii="宋体" w:hAnsi="宋体" w:cs="Arial"/>
                <w:color w:val="333333"/>
                <w:kern w:val="0"/>
                <w:sz w:val="22"/>
                <w:szCs w:val="22"/>
              </w:rPr>
              <w:t>　</w:t>
            </w:r>
          </w:p>
        </w:tc>
      </w:tr>
      <w:tr w14:paraId="01FBA7CD">
        <w:tblPrEx>
          <w:tblCellMar>
            <w:top w:w="0" w:type="dxa"/>
            <w:left w:w="108" w:type="dxa"/>
            <w:bottom w:w="0" w:type="dxa"/>
            <w:right w:w="108" w:type="dxa"/>
          </w:tblCellMar>
        </w:tblPrEx>
        <w:trPr>
          <w:trHeight w:val="563" w:hRule="atLeast"/>
        </w:trPr>
        <w:tc>
          <w:tcPr>
            <w:tcW w:w="0" w:type="auto"/>
            <w:vMerge w:val="continue"/>
            <w:tcBorders>
              <w:top w:val="nil"/>
              <w:left w:val="single" w:color="auto" w:sz="4" w:space="0"/>
              <w:bottom w:val="single" w:color="auto" w:sz="4" w:space="0"/>
              <w:right w:val="single" w:color="auto" w:sz="4" w:space="0"/>
            </w:tcBorders>
            <w:vAlign w:val="center"/>
          </w:tcPr>
          <w:p w14:paraId="7134475B">
            <w:pPr>
              <w:jc w:val="left"/>
              <w:rPr>
                <w:rFonts w:ascii="宋体" w:hAnsi="宋体" w:cs="Arial"/>
                <w:color w:val="333333"/>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14:paraId="3F669D5B">
            <w:pPr>
              <w:jc w:val="center"/>
              <w:rPr>
                <w:rFonts w:ascii="宋体" w:hAnsi="宋体" w:cs="Arial"/>
                <w:color w:val="333333"/>
                <w:kern w:val="0"/>
                <w:sz w:val="22"/>
                <w:szCs w:val="22"/>
              </w:rPr>
            </w:pPr>
            <w:r>
              <w:rPr>
                <w:rFonts w:hint="eastAsia" w:ascii="宋体" w:hAnsi="宋体" w:cs="Arial"/>
                <w:color w:val="333333"/>
                <w:kern w:val="0"/>
                <w:sz w:val="22"/>
                <w:szCs w:val="22"/>
              </w:rPr>
              <w:t>部门效果目标</w:t>
            </w:r>
          </w:p>
        </w:tc>
        <w:tc>
          <w:tcPr>
            <w:tcW w:w="0" w:type="auto"/>
            <w:tcBorders>
              <w:top w:val="nil"/>
              <w:left w:val="nil"/>
              <w:bottom w:val="single" w:color="auto" w:sz="4" w:space="0"/>
              <w:right w:val="single" w:color="auto" w:sz="4" w:space="0"/>
            </w:tcBorders>
            <w:shd w:val="clear" w:color="000000" w:fill="FFFFFF"/>
            <w:vAlign w:val="center"/>
          </w:tcPr>
          <w:p w14:paraId="13AD902F">
            <w:pPr>
              <w:jc w:val="left"/>
              <w:rPr>
                <w:rFonts w:ascii="宋体" w:hAnsi="宋体" w:cs="Arial"/>
                <w:color w:val="333333"/>
                <w:kern w:val="0"/>
                <w:sz w:val="22"/>
                <w:szCs w:val="22"/>
              </w:rPr>
            </w:pPr>
            <w:r>
              <w:rPr>
                <w:rFonts w:hint="eastAsia" w:ascii="宋体" w:hAnsi="宋体" w:cs="Arial"/>
                <w:color w:val="333333"/>
                <w:kern w:val="0"/>
                <w:sz w:val="22"/>
                <w:szCs w:val="22"/>
              </w:rPr>
              <w:t>经济效益指标</w:t>
            </w:r>
          </w:p>
        </w:tc>
        <w:tc>
          <w:tcPr>
            <w:tcW w:w="0" w:type="auto"/>
            <w:tcBorders>
              <w:top w:val="nil"/>
              <w:left w:val="nil"/>
              <w:bottom w:val="single" w:color="auto" w:sz="4" w:space="0"/>
              <w:right w:val="single" w:color="auto" w:sz="4" w:space="0"/>
            </w:tcBorders>
            <w:shd w:val="clear" w:color="000000" w:fill="FFFFFF"/>
            <w:vAlign w:val="center"/>
          </w:tcPr>
          <w:p w14:paraId="00972E67">
            <w:pPr>
              <w:jc w:val="center"/>
              <w:rPr>
                <w:rFonts w:ascii="宋体" w:hAnsi="宋体" w:cs="Arial"/>
                <w:color w:val="333333"/>
                <w:kern w:val="0"/>
                <w:sz w:val="22"/>
                <w:szCs w:val="22"/>
              </w:rPr>
            </w:pPr>
            <w:r>
              <w:rPr>
                <w:rFonts w:hint="eastAsia" w:ascii="宋体" w:hAnsi="宋体" w:cs="Arial"/>
                <w:color w:val="333333"/>
                <w:kern w:val="0"/>
                <w:sz w:val="22"/>
                <w:szCs w:val="22"/>
              </w:rPr>
              <w:t>职工个人收入提高2%</w:t>
            </w:r>
          </w:p>
        </w:tc>
        <w:tc>
          <w:tcPr>
            <w:tcW w:w="0" w:type="auto"/>
            <w:tcBorders>
              <w:top w:val="nil"/>
              <w:left w:val="nil"/>
              <w:bottom w:val="single" w:color="auto" w:sz="4" w:space="0"/>
              <w:right w:val="single" w:color="auto" w:sz="4" w:space="0"/>
            </w:tcBorders>
            <w:shd w:val="clear" w:color="auto" w:fill="auto"/>
            <w:vAlign w:val="center"/>
          </w:tcPr>
          <w:p w14:paraId="09C8A852">
            <w:pPr>
              <w:jc w:val="center"/>
              <w:rPr>
                <w:rFonts w:ascii="宋体" w:hAnsi="宋体" w:cs="Arial"/>
                <w:color w:val="000000"/>
                <w:kern w:val="0"/>
                <w:sz w:val="22"/>
                <w:szCs w:val="22"/>
              </w:rPr>
            </w:pPr>
            <w:r>
              <w:rPr>
                <w:rFonts w:hint="eastAsia" w:ascii="宋体" w:hAnsi="宋体" w:cs="Arial"/>
                <w:color w:val="000000"/>
                <w:kern w:val="0"/>
                <w:sz w:val="22"/>
                <w:szCs w:val="22"/>
              </w:rPr>
              <w:t>100%</w:t>
            </w:r>
          </w:p>
        </w:tc>
        <w:tc>
          <w:tcPr>
            <w:tcW w:w="0" w:type="auto"/>
            <w:tcBorders>
              <w:top w:val="nil"/>
              <w:left w:val="nil"/>
              <w:bottom w:val="single" w:color="auto" w:sz="4" w:space="0"/>
              <w:right w:val="single" w:color="auto" w:sz="4" w:space="0"/>
            </w:tcBorders>
            <w:shd w:val="clear" w:color="auto" w:fill="auto"/>
            <w:vAlign w:val="center"/>
          </w:tcPr>
          <w:p w14:paraId="42F50940">
            <w:pPr>
              <w:jc w:val="center"/>
              <w:rPr>
                <w:rFonts w:ascii="宋体" w:hAnsi="宋体" w:cs="Arial"/>
                <w:color w:val="000000"/>
                <w:kern w:val="0"/>
                <w:sz w:val="22"/>
                <w:szCs w:val="22"/>
              </w:rPr>
            </w:pPr>
            <w:r>
              <w:rPr>
                <w:rFonts w:hint="eastAsia" w:ascii="宋体" w:hAnsi="宋体" w:cs="Arial"/>
                <w:color w:val="000000"/>
                <w:kern w:val="0"/>
                <w:sz w:val="22"/>
                <w:szCs w:val="22"/>
              </w:rPr>
              <w:t>10.8</w:t>
            </w:r>
          </w:p>
        </w:tc>
        <w:tc>
          <w:tcPr>
            <w:tcW w:w="0" w:type="auto"/>
            <w:tcBorders>
              <w:top w:val="nil"/>
              <w:left w:val="nil"/>
              <w:bottom w:val="single" w:color="auto" w:sz="4" w:space="0"/>
              <w:right w:val="single" w:color="auto" w:sz="4" w:space="0"/>
            </w:tcBorders>
            <w:shd w:val="clear" w:color="000000" w:fill="FFFFFF"/>
            <w:vAlign w:val="center"/>
          </w:tcPr>
          <w:p w14:paraId="32C07C46">
            <w:pPr>
              <w:jc w:val="center"/>
              <w:rPr>
                <w:rFonts w:ascii="宋体" w:hAnsi="宋体" w:cs="Arial"/>
                <w:color w:val="333333"/>
                <w:kern w:val="0"/>
                <w:sz w:val="22"/>
                <w:szCs w:val="22"/>
              </w:rPr>
            </w:pPr>
            <w:r>
              <w:rPr>
                <w:rFonts w:hint="eastAsia" w:ascii="宋体" w:hAnsi="宋体" w:cs="Arial"/>
                <w:color w:val="333333"/>
                <w:kern w:val="0"/>
                <w:sz w:val="22"/>
                <w:szCs w:val="22"/>
              </w:rPr>
              <w:t>10.8</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3D56F465">
            <w:pPr>
              <w:jc w:val="left"/>
              <w:rPr>
                <w:rFonts w:ascii="宋体" w:hAnsi="宋体" w:cs="Arial"/>
                <w:color w:val="333333"/>
                <w:kern w:val="0"/>
                <w:sz w:val="22"/>
                <w:szCs w:val="22"/>
              </w:rPr>
            </w:pPr>
            <w:r>
              <w:rPr>
                <w:rFonts w:hint="eastAsia" w:ascii="宋体" w:hAnsi="宋体" w:cs="Arial"/>
                <w:color w:val="333333"/>
                <w:kern w:val="0"/>
                <w:sz w:val="22"/>
                <w:szCs w:val="22"/>
              </w:rPr>
              <w:t>　</w:t>
            </w:r>
          </w:p>
        </w:tc>
      </w:tr>
      <w:tr w14:paraId="24F787EE">
        <w:tblPrEx>
          <w:tblCellMar>
            <w:top w:w="0" w:type="dxa"/>
            <w:left w:w="108" w:type="dxa"/>
            <w:bottom w:w="0" w:type="dxa"/>
            <w:right w:w="108" w:type="dxa"/>
          </w:tblCellMar>
        </w:tblPrEx>
        <w:trPr>
          <w:trHeight w:val="563" w:hRule="atLeast"/>
        </w:trPr>
        <w:tc>
          <w:tcPr>
            <w:tcW w:w="0" w:type="auto"/>
            <w:vMerge w:val="continue"/>
            <w:tcBorders>
              <w:top w:val="nil"/>
              <w:left w:val="single" w:color="auto" w:sz="4" w:space="0"/>
              <w:bottom w:val="single" w:color="auto" w:sz="4" w:space="0"/>
              <w:right w:val="single" w:color="auto" w:sz="4" w:space="0"/>
            </w:tcBorders>
            <w:vAlign w:val="center"/>
          </w:tcPr>
          <w:p w14:paraId="3F752864">
            <w:pPr>
              <w:jc w:val="left"/>
              <w:rPr>
                <w:rFonts w:ascii="宋体" w:hAnsi="宋体" w:cs="Arial"/>
                <w:color w:val="333333"/>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14:paraId="72A7813F">
            <w:pPr>
              <w:jc w:val="center"/>
              <w:rPr>
                <w:rFonts w:ascii="宋体" w:hAnsi="宋体" w:cs="Arial"/>
                <w:color w:val="333333"/>
                <w:kern w:val="0"/>
                <w:sz w:val="22"/>
                <w:szCs w:val="22"/>
              </w:rPr>
            </w:pPr>
            <w:r>
              <w:rPr>
                <w:rFonts w:hint="eastAsia" w:ascii="宋体" w:hAnsi="宋体" w:cs="Arial"/>
                <w:color w:val="333333"/>
                <w:kern w:val="0"/>
                <w:sz w:val="22"/>
                <w:szCs w:val="22"/>
              </w:rPr>
              <w:t>服务对象满意度</w:t>
            </w:r>
          </w:p>
        </w:tc>
        <w:tc>
          <w:tcPr>
            <w:tcW w:w="0" w:type="auto"/>
            <w:tcBorders>
              <w:top w:val="nil"/>
              <w:left w:val="nil"/>
              <w:bottom w:val="single" w:color="auto" w:sz="4" w:space="0"/>
              <w:right w:val="single" w:color="auto" w:sz="4" w:space="0"/>
            </w:tcBorders>
            <w:shd w:val="clear" w:color="000000" w:fill="FFFFFF"/>
            <w:vAlign w:val="center"/>
          </w:tcPr>
          <w:p w14:paraId="35A8E433">
            <w:pPr>
              <w:jc w:val="left"/>
              <w:rPr>
                <w:rFonts w:ascii="宋体" w:hAnsi="宋体" w:cs="Arial"/>
                <w:color w:val="333333"/>
                <w:kern w:val="0"/>
                <w:sz w:val="22"/>
                <w:szCs w:val="22"/>
              </w:rPr>
            </w:pPr>
            <w:r>
              <w:rPr>
                <w:rFonts w:hint="eastAsia" w:ascii="宋体" w:hAnsi="宋体" w:cs="Arial"/>
                <w:color w:val="333333"/>
                <w:kern w:val="0"/>
                <w:sz w:val="22"/>
                <w:szCs w:val="22"/>
              </w:rPr>
              <w:t>干部职工满意度</w:t>
            </w:r>
          </w:p>
        </w:tc>
        <w:tc>
          <w:tcPr>
            <w:tcW w:w="0" w:type="auto"/>
            <w:tcBorders>
              <w:top w:val="nil"/>
              <w:left w:val="nil"/>
              <w:bottom w:val="single" w:color="auto" w:sz="4" w:space="0"/>
              <w:right w:val="single" w:color="auto" w:sz="4" w:space="0"/>
            </w:tcBorders>
            <w:shd w:val="clear" w:color="000000" w:fill="FFFFFF"/>
            <w:vAlign w:val="center"/>
          </w:tcPr>
          <w:p w14:paraId="08A18E4B">
            <w:pPr>
              <w:jc w:val="center"/>
              <w:rPr>
                <w:rFonts w:ascii="宋体" w:hAnsi="宋体" w:cs="Arial"/>
                <w:color w:val="333333"/>
                <w:kern w:val="0"/>
                <w:sz w:val="22"/>
                <w:szCs w:val="22"/>
              </w:rPr>
            </w:pPr>
            <w:r>
              <w:rPr>
                <w:rFonts w:hint="eastAsia" w:ascii="宋体" w:hAnsi="宋体" w:cs="Arial"/>
                <w:color w:val="333333"/>
                <w:kern w:val="0"/>
                <w:sz w:val="22"/>
                <w:szCs w:val="22"/>
              </w:rPr>
              <w:t>&gt;=90%</w:t>
            </w:r>
          </w:p>
        </w:tc>
        <w:tc>
          <w:tcPr>
            <w:tcW w:w="0" w:type="auto"/>
            <w:tcBorders>
              <w:top w:val="nil"/>
              <w:left w:val="nil"/>
              <w:bottom w:val="single" w:color="auto" w:sz="4" w:space="0"/>
              <w:right w:val="single" w:color="auto" w:sz="4" w:space="0"/>
            </w:tcBorders>
            <w:shd w:val="clear" w:color="auto" w:fill="auto"/>
            <w:vAlign w:val="center"/>
          </w:tcPr>
          <w:p w14:paraId="0FE90FC6">
            <w:pPr>
              <w:jc w:val="center"/>
              <w:rPr>
                <w:rFonts w:ascii="宋体" w:hAnsi="宋体" w:cs="Arial"/>
                <w:color w:val="000000"/>
                <w:kern w:val="0"/>
                <w:sz w:val="22"/>
                <w:szCs w:val="22"/>
              </w:rPr>
            </w:pPr>
            <w:r>
              <w:rPr>
                <w:rFonts w:hint="eastAsia" w:ascii="宋体" w:hAnsi="宋体" w:cs="Arial"/>
                <w:color w:val="000000"/>
                <w:kern w:val="0"/>
                <w:sz w:val="22"/>
                <w:szCs w:val="22"/>
              </w:rPr>
              <w:t>90%</w:t>
            </w:r>
          </w:p>
        </w:tc>
        <w:tc>
          <w:tcPr>
            <w:tcW w:w="0" w:type="auto"/>
            <w:tcBorders>
              <w:top w:val="nil"/>
              <w:left w:val="nil"/>
              <w:bottom w:val="single" w:color="auto" w:sz="4" w:space="0"/>
              <w:right w:val="single" w:color="auto" w:sz="4" w:space="0"/>
            </w:tcBorders>
            <w:shd w:val="clear" w:color="auto" w:fill="auto"/>
            <w:vAlign w:val="center"/>
          </w:tcPr>
          <w:p w14:paraId="7211C3F8">
            <w:pPr>
              <w:jc w:val="center"/>
              <w:rPr>
                <w:rFonts w:ascii="宋体" w:hAnsi="宋体" w:cs="Arial"/>
                <w:color w:val="000000"/>
                <w:kern w:val="0"/>
                <w:sz w:val="22"/>
                <w:szCs w:val="22"/>
              </w:rPr>
            </w:pPr>
            <w:r>
              <w:rPr>
                <w:rFonts w:hint="eastAsia" w:ascii="宋体" w:hAnsi="宋体" w:cs="Arial"/>
                <w:color w:val="000000"/>
                <w:kern w:val="0"/>
                <w:sz w:val="22"/>
                <w:szCs w:val="22"/>
              </w:rPr>
              <w:t>10.8</w:t>
            </w:r>
          </w:p>
        </w:tc>
        <w:tc>
          <w:tcPr>
            <w:tcW w:w="0" w:type="auto"/>
            <w:tcBorders>
              <w:top w:val="nil"/>
              <w:left w:val="nil"/>
              <w:bottom w:val="single" w:color="auto" w:sz="4" w:space="0"/>
              <w:right w:val="single" w:color="auto" w:sz="4" w:space="0"/>
            </w:tcBorders>
            <w:shd w:val="clear" w:color="000000" w:fill="FFFFFF"/>
            <w:vAlign w:val="center"/>
          </w:tcPr>
          <w:p w14:paraId="708F4E07">
            <w:pPr>
              <w:jc w:val="center"/>
              <w:rPr>
                <w:rFonts w:ascii="宋体" w:hAnsi="宋体" w:cs="Arial"/>
                <w:color w:val="333333"/>
                <w:kern w:val="0"/>
                <w:sz w:val="22"/>
                <w:szCs w:val="22"/>
              </w:rPr>
            </w:pPr>
            <w:r>
              <w:rPr>
                <w:rFonts w:hint="eastAsia" w:ascii="宋体" w:hAnsi="宋体" w:cs="Arial"/>
                <w:color w:val="333333"/>
                <w:kern w:val="0"/>
                <w:sz w:val="22"/>
                <w:szCs w:val="22"/>
              </w:rPr>
              <w:t>10.8</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55B7B613">
            <w:pPr>
              <w:jc w:val="left"/>
              <w:rPr>
                <w:rFonts w:ascii="宋体" w:hAnsi="宋体" w:cs="Arial"/>
                <w:color w:val="333333"/>
                <w:kern w:val="0"/>
                <w:sz w:val="22"/>
                <w:szCs w:val="22"/>
              </w:rPr>
            </w:pPr>
            <w:r>
              <w:rPr>
                <w:rFonts w:hint="eastAsia" w:ascii="宋体" w:hAnsi="宋体" w:cs="Arial"/>
                <w:color w:val="333333"/>
                <w:kern w:val="0"/>
                <w:sz w:val="22"/>
                <w:szCs w:val="22"/>
              </w:rPr>
              <w:t>　</w:t>
            </w:r>
          </w:p>
        </w:tc>
      </w:tr>
      <w:tr w14:paraId="17557AB1">
        <w:tblPrEx>
          <w:tblCellMar>
            <w:top w:w="0" w:type="dxa"/>
            <w:left w:w="108" w:type="dxa"/>
            <w:bottom w:w="0" w:type="dxa"/>
            <w:right w:w="108" w:type="dxa"/>
          </w:tblCellMar>
        </w:tblPrEx>
        <w:trPr>
          <w:trHeight w:val="563" w:hRule="atLeast"/>
        </w:trPr>
        <w:tc>
          <w:tcPr>
            <w:tcW w:w="0" w:type="auto"/>
            <w:vMerge w:val="continue"/>
            <w:tcBorders>
              <w:top w:val="nil"/>
              <w:left w:val="single" w:color="auto" w:sz="4" w:space="0"/>
              <w:bottom w:val="single" w:color="auto" w:sz="4" w:space="0"/>
              <w:right w:val="single" w:color="auto" w:sz="4" w:space="0"/>
            </w:tcBorders>
            <w:vAlign w:val="center"/>
          </w:tcPr>
          <w:p w14:paraId="3557261C">
            <w:pPr>
              <w:jc w:val="left"/>
              <w:rPr>
                <w:rFonts w:ascii="宋体" w:hAnsi="宋体" w:cs="Arial"/>
                <w:color w:val="333333"/>
                <w:kern w:val="0"/>
                <w:sz w:val="22"/>
                <w:szCs w:val="22"/>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F991E73">
            <w:pPr>
              <w:jc w:val="center"/>
              <w:rPr>
                <w:rFonts w:ascii="宋体" w:hAnsi="宋体" w:cs="Arial"/>
                <w:color w:val="333333"/>
                <w:kern w:val="0"/>
                <w:sz w:val="22"/>
                <w:szCs w:val="22"/>
              </w:rPr>
            </w:pPr>
            <w:r>
              <w:rPr>
                <w:rFonts w:hint="eastAsia" w:ascii="宋体" w:hAnsi="宋体" w:cs="Arial"/>
                <w:color w:val="333333"/>
                <w:kern w:val="0"/>
                <w:sz w:val="22"/>
                <w:szCs w:val="22"/>
              </w:rPr>
              <w:t>社会影响</w:t>
            </w:r>
          </w:p>
        </w:tc>
        <w:tc>
          <w:tcPr>
            <w:tcW w:w="0" w:type="auto"/>
            <w:tcBorders>
              <w:top w:val="nil"/>
              <w:left w:val="nil"/>
              <w:bottom w:val="single" w:color="auto" w:sz="4" w:space="0"/>
              <w:right w:val="single" w:color="auto" w:sz="4" w:space="0"/>
            </w:tcBorders>
            <w:shd w:val="clear" w:color="000000" w:fill="FFFFFF"/>
            <w:vAlign w:val="center"/>
          </w:tcPr>
          <w:p w14:paraId="7FCBB0D3">
            <w:pPr>
              <w:jc w:val="left"/>
              <w:rPr>
                <w:rFonts w:ascii="宋体" w:hAnsi="宋体" w:cs="Arial"/>
                <w:color w:val="333333"/>
                <w:kern w:val="0"/>
                <w:sz w:val="22"/>
                <w:szCs w:val="22"/>
              </w:rPr>
            </w:pPr>
            <w:r>
              <w:rPr>
                <w:rFonts w:hint="eastAsia" w:ascii="宋体" w:hAnsi="宋体" w:cs="Arial"/>
                <w:color w:val="333333"/>
                <w:kern w:val="0"/>
                <w:sz w:val="22"/>
                <w:szCs w:val="22"/>
              </w:rPr>
              <w:t>单位获奖情况</w:t>
            </w:r>
          </w:p>
        </w:tc>
        <w:tc>
          <w:tcPr>
            <w:tcW w:w="0" w:type="auto"/>
            <w:tcBorders>
              <w:top w:val="nil"/>
              <w:left w:val="nil"/>
              <w:bottom w:val="single" w:color="auto" w:sz="4" w:space="0"/>
              <w:right w:val="single" w:color="auto" w:sz="4" w:space="0"/>
            </w:tcBorders>
            <w:shd w:val="clear" w:color="000000" w:fill="FFFFFF"/>
            <w:vAlign w:val="center"/>
          </w:tcPr>
          <w:p w14:paraId="0F7F731C">
            <w:pPr>
              <w:jc w:val="center"/>
              <w:rPr>
                <w:rFonts w:ascii="宋体" w:hAnsi="宋体" w:cs="Arial"/>
                <w:color w:val="333333"/>
                <w:kern w:val="0"/>
                <w:sz w:val="22"/>
                <w:szCs w:val="22"/>
              </w:rPr>
            </w:pPr>
            <w:r>
              <w:rPr>
                <w:rFonts w:hint="eastAsia" w:ascii="宋体" w:hAnsi="宋体" w:cs="Arial"/>
                <w:color w:val="333333"/>
                <w:kern w:val="0"/>
                <w:sz w:val="22"/>
                <w:szCs w:val="22"/>
              </w:rPr>
              <w:t>&gt;=0</w:t>
            </w:r>
          </w:p>
        </w:tc>
        <w:tc>
          <w:tcPr>
            <w:tcW w:w="0" w:type="auto"/>
            <w:tcBorders>
              <w:top w:val="nil"/>
              <w:left w:val="nil"/>
              <w:bottom w:val="single" w:color="auto" w:sz="4" w:space="0"/>
              <w:right w:val="single" w:color="auto" w:sz="4" w:space="0"/>
            </w:tcBorders>
            <w:shd w:val="clear" w:color="auto" w:fill="auto"/>
            <w:vAlign w:val="center"/>
          </w:tcPr>
          <w:p w14:paraId="12A11F7A">
            <w:pPr>
              <w:jc w:val="center"/>
              <w:rPr>
                <w:rFonts w:ascii="宋体" w:hAnsi="宋体" w:cs="Arial"/>
                <w:color w:val="000000"/>
                <w:kern w:val="0"/>
                <w:sz w:val="22"/>
                <w:szCs w:val="22"/>
              </w:rPr>
            </w:pPr>
            <w:r>
              <w:rPr>
                <w:rFonts w:hint="eastAsia" w:ascii="宋体" w:hAnsi="宋体" w:cs="Arial"/>
                <w:color w:val="000000"/>
                <w:kern w:val="0"/>
                <w:sz w:val="22"/>
                <w:szCs w:val="22"/>
              </w:rPr>
              <w:t>0</w:t>
            </w:r>
          </w:p>
        </w:tc>
        <w:tc>
          <w:tcPr>
            <w:tcW w:w="0" w:type="auto"/>
            <w:tcBorders>
              <w:top w:val="nil"/>
              <w:left w:val="nil"/>
              <w:bottom w:val="single" w:color="auto" w:sz="4" w:space="0"/>
              <w:right w:val="single" w:color="auto" w:sz="4" w:space="0"/>
            </w:tcBorders>
            <w:shd w:val="clear" w:color="auto" w:fill="auto"/>
            <w:vAlign w:val="center"/>
          </w:tcPr>
          <w:p w14:paraId="5AD92DED">
            <w:pPr>
              <w:jc w:val="center"/>
              <w:rPr>
                <w:rFonts w:ascii="宋体" w:hAnsi="宋体" w:cs="Arial"/>
                <w:color w:val="000000"/>
                <w:kern w:val="0"/>
                <w:sz w:val="22"/>
                <w:szCs w:val="22"/>
              </w:rPr>
            </w:pPr>
            <w:r>
              <w:rPr>
                <w:rFonts w:hint="eastAsia" w:ascii="宋体" w:hAnsi="宋体" w:cs="Arial"/>
                <w:color w:val="000000"/>
                <w:kern w:val="0"/>
                <w:sz w:val="22"/>
                <w:szCs w:val="22"/>
              </w:rPr>
              <w:t>10.8</w:t>
            </w:r>
          </w:p>
        </w:tc>
        <w:tc>
          <w:tcPr>
            <w:tcW w:w="0" w:type="auto"/>
            <w:tcBorders>
              <w:top w:val="nil"/>
              <w:left w:val="nil"/>
              <w:bottom w:val="single" w:color="auto" w:sz="4" w:space="0"/>
              <w:right w:val="single" w:color="auto" w:sz="4" w:space="0"/>
            </w:tcBorders>
            <w:shd w:val="clear" w:color="000000" w:fill="FFFFFF"/>
            <w:vAlign w:val="center"/>
          </w:tcPr>
          <w:p w14:paraId="415BBCA8">
            <w:pPr>
              <w:jc w:val="center"/>
              <w:rPr>
                <w:rFonts w:ascii="宋体" w:hAnsi="宋体" w:cs="Arial"/>
                <w:color w:val="333333"/>
                <w:kern w:val="0"/>
                <w:sz w:val="22"/>
                <w:szCs w:val="22"/>
              </w:rPr>
            </w:pPr>
            <w:r>
              <w:rPr>
                <w:rFonts w:hint="eastAsia" w:ascii="宋体" w:hAnsi="宋体" w:cs="Arial"/>
                <w:color w:val="333333"/>
                <w:kern w:val="0"/>
                <w:sz w:val="22"/>
                <w:szCs w:val="22"/>
              </w:rPr>
              <w:t>10.8</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2F5BD4A4">
            <w:pPr>
              <w:jc w:val="left"/>
              <w:rPr>
                <w:rFonts w:ascii="宋体" w:hAnsi="宋体" w:cs="Arial"/>
                <w:color w:val="333333"/>
                <w:kern w:val="0"/>
                <w:sz w:val="22"/>
                <w:szCs w:val="22"/>
              </w:rPr>
            </w:pPr>
            <w:r>
              <w:rPr>
                <w:rFonts w:hint="eastAsia" w:ascii="宋体" w:hAnsi="宋体" w:cs="Arial"/>
                <w:color w:val="333333"/>
                <w:kern w:val="0"/>
                <w:sz w:val="22"/>
                <w:szCs w:val="22"/>
              </w:rPr>
              <w:t>　</w:t>
            </w:r>
          </w:p>
        </w:tc>
      </w:tr>
      <w:tr w14:paraId="458D44A9">
        <w:tblPrEx>
          <w:tblCellMar>
            <w:top w:w="0" w:type="dxa"/>
            <w:left w:w="108" w:type="dxa"/>
            <w:bottom w:w="0" w:type="dxa"/>
            <w:right w:w="108" w:type="dxa"/>
          </w:tblCellMar>
        </w:tblPrEx>
        <w:trPr>
          <w:trHeight w:val="563" w:hRule="atLeast"/>
        </w:trPr>
        <w:tc>
          <w:tcPr>
            <w:tcW w:w="0" w:type="auto"/>
            <w:vMerge w:val="continue"/>
            <w:tcBorders>
              <w:top w:val="nil"/>
              <w:left w:val="single" w:color="auto" w:sz="4" w:space="0"/>
              <w:bottom w:val="single" w:color="auto" w:sz="4" w:space="0"/>
              <w:right w:val="single" w:color="auto" w:sz="4" w:space="0"/>
            </w:tcBorders>
            <w:vAlign w:val="center"/>
          </w:tcPr>
          <w:p w14:paraId="68B625DF">
            <w:pPr>
              <w:jc w:val="left"/>
              <w:rPr>
                <w:rFonts w:ascii="宋体" w:hAnsi="宋体" w:cs="Arial"/>
                <w:color w:val="333333"/>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14:paraId="7BBE84EB">
            <w:pPr>
              <w:jc w:val="left"/>
              <w:rPr>
                <w:rFonts w:ascii="宋体" w:hAnsi="宋体" w:cs="Arial"/>
                <w:color w:val="333333"/>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14:paraId="398B4CC3">
            <w:pPr>
              <w:jc w:val="left"/>
              <w:rPr>
                <w:rFonts w:ascii="宋体" w:hAnsi="宋体" w:cs="Arial"/>
                <w:color w:val="333333"/>
                <w:kern w:val="0"/>
                <w:sz w:val="22"/>
                <w:szCs w:val="22"/>
              </w:rPr>
            </w:pPr>
            <w:r>
              <w:rPr>
                <w:rFonts w:hint="eastAsia" w:ascii="宋体" w:hAnsi="宋体" w:cs="Arial"/>
                <w:color w:val="333333"/>
                <w:kern w:val="0"/>
                <w:sz w:val="22"/>
                <w:szCs w:val="22"/>
              </w:rPr>
              <w:t>违法违纪情况</w:t>
            </w:r>
          </w:p>
        </w:tc>
        <w:tc>
          <w:tcPr>
            <w:tcW w:w="0" w:type="auto"/>
            <w:tcBorders>
              <w:top w:val="nil"/>
              <w:left w:val="nil"/>
              <w:bottom w:val="single" w:color="auto" w:sz="4" w:space="0"/>
              <w:right w:val="single" w:color="auto" w:sz="4" w:space="0"/>
            </w:tcBorders>
            <w:shd w:val="clear" w:color="000000" w:fill="FFFFFF"/>
            <w:vAlign w:val="center"/>
          </w:tcPr>
          <w:p w14:paraId="26709072">
            <w:pPr>
              <w:jc w:val="center"/>
              <w:rPr>
                <w:rFonts w:ascii="宋体" w:hAnsi="宋体" w:cs="Arial"/>
                <w:color w:val="333333"/>
                <w:kern w:val="0"/>
                <w:sz w:val="22"/>
                <w:szCs w:val="22"/>
              </w:rPr>
            </w:pPr>
            <w:r>
              <w:rPr>
                <w:rFonts w:hint="eastAsia" w:ascii="宋体" w:hAnsi="宋体" w:cs="Arial"/>
                <w:color w:val="333333"/>
                <w:kern w:val="0"/>
                <w:sz w:val="22"/>
                <w:szCs w:val="22"/>
              </w:rPr>
              <w:t>&lt;=0</w:t>
            </w:r>
          </w:p>
        </w:tc>
        <w:tc>
          <w:tcPr>
            <w:tcW w:w="0" w:type="auto"/>
            <w:tcBorders>
              <w:top w:val="nil"/>
              <w:left w:val="nil"/>
              <w:bottom w:val="single" w:color="auto" w:sz="4" w:space="0"/>
              <w:right w:val="single" w:color="auto" w:sz="4" w:space="0"/>
            </w:tcBorders>
            <w:shd w:val="clear" w:color="auto" w:fill="auto"/>
            <w:vAlign w:val="center"/>
          </w:tcPr>
          <w:p w14:paraId="4039C7D3">
            <w:pPr>
              <w:jc w:val="center"/>
              <w:rPr>
                <w:rFonts w:ascii="宋体" w:hAnsi="宋体" w:cs="Arial"/>
                <w:color w:val="000000"/>
                <w:kern w:val="0"/>
                <w:sz w:val="22"/>
                <w:szCs w:val="22"/>
              </w:rPr>
            </w:pPr>
            <w:r>
              <w:rPr>
                <w:rFonts w:hint="eastAsia" w:ascii="宋体" w:hAnsi="宋体" w:cs="Arial"/>
                <w:color w:val="000000"/>
                <w:kern w:val="0"/>
                <w:sz w:val="22"/>
                <w:szCs w:val="22"/>
              </w:rPr>
              <w:t>0</w:t>
            </w:r>
          </w:p>
        </w:tc>
        <w:tc>
          <w:tcPr>
            <w:tcW w:w="0" w:type="auto"/>
            <w:tcBorders>
              <w:top w:val="nil"/>
              <w:left w:val="nil"/>
              <w:bottom w:val="single" w:color="auto" w:sz="4" w:space="0"/>
              <w:right w:val="single" w:color="auto" w:sz="4" w:space="0"/>
            </w:tcBorders>
            <w:shd w:val="clear" w:color="auto" w:fill="auto"/>
            <w:vAlign w:val="center"/>
          </w:tcPr>
          <w:p w14:paraId="5547F56D">
            <w:pPr>
              <w:jc w:val="center"/>
              <w:rPr>
                <w:rFonts w:ascii="宋体" w:hAnsi="宋体" w:cs="Arial"/>
                <w:color w:val="000000"/>
                <w:kern w:val="0"/>
                <w:sz w:val="22"/>
                <w:szCs w:val="22"/>
              </w:rPr>
            </w:pPr>
            <w:r>
              <w:rPr>
                <w:rFonts w:hint="eastAsia" w:ascii="宋体" w:hAnsi="宋体" w:cs="Arial"/>
                <w:color w:val="000000"/>
                <w:kern w:val="0"/>
                <w:sz w:val="22"/>
                <w:szCs w:val="22"/>
              </w:rPr>
              <w:t>10.8</w:t>
            </w:r>
          </w:p>
        </w:tc>
        <w:tc>
          <w:tcPr>
            <w:tcW w:w="0" w:type="auto"/>
            <w:tcBorders>
              <w:top w:val="nil"/>
              <w:left w:val="nil"/>
              <w:bottom w:val="single" w:color="auto" w:sz="4" w:space="0"/>
              <w:right w:val="single" w:color="auto" w:sz="4" w:space="0"/>
            </w:tcBorders>
            <w:shd w:val="clear" w:color="000000" w:fill="FFFFFF"/>
            <w:vAlign w:val="center"/>
          </w:tcPr>
          <w:p w14:paraId="473DE7DC">
            <w:pPr>
              <w:jc w:val="center"/>
              <w:rPr>
                <w:rFonts w:ascii="宋体" w:hAnsi="宋体" w:cs="Arial"/>
                <w:color w:val="333333"/>
                <w:kern w:val="0"/>
                <w:sz w:val="22"/>
                <w:szCs w:val="22"/>
              </w:rPr>
            </w:pPr>
            <w:r>
              <w:rPr>
                <w:rFonts w:hint="eastAsia" w:ascii="宋体" w:hAnsi="宋体" w:cs="Arial"/>
                <w:color w:val="333333"/>
                <w:kern w:val="0"/>
                <w:sz w:val="22"/>
                <w:szCs w:val="22"/>
              </w:rPr>
              <w:t>10.8</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58A739D1">
            <w:pPr>
              <w:jc w:val="left"/>
              <w:rPr>
                <w:rFonts w:ascii="宋体" w:hAnsi="宋体" w:cs="Arial"/>
                <w:color w:val="333333"/>
                <w:kern w:val="0"/>
                <w:sz w:val="22"/>
                <w:szCs w:val="22"/>
              </w:rPr>
            </w:pPr>
            <w:r>
              <w:rPr>
                <w:rFonts w:hint="eastAsia" w:ascii="宋体" w:hAnsi="宋体" w:cs="Arial"/>
                <w:color w:val="333333"/>
                <w:kern w:val="0"/>
                <w:sz w:val="22"/>
                <w:szCs w:val="22"/>
              </w:rPr>
              <w:t>　</w:t>
            </w:r>
          </w:p>
        </w:tc>
      </w:tr>
      <w:tr w14:paraId="052F7E39">
        <w:tblPrEx>
          <w:tblCellMar>
            <w:top w:w="0" w:type="dxa"/>
            <w:left w:w="108" w:type="dxa"/>
            <w:bottom w:w="0" w:type="dxa"/>
            <w:right w:w="108" w:type="dxa"/>
          </w:tblCellMar>
        </w:tblPrEx>
        <w:trPr>
          <w:trHeight w:val="563"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3DB5A61">
            <w:pPr>
              <w:jc w:val="center"/>
              <w:rPr>
                <w:rFonts w:ascii="宋体" w:hAnsi="宋体" w:cs="Arial"/>
                <w:color w:val="333333"/>
                <w:kern w:val="0"/>
                <w:sz w:val="22"/>
                <w:szCs w:val="22"/>
              </w:rPr>
            </w:pPr>
            <w:r>
              <w:rPr>
                <w:rFonts w:hint="eastAsia" w:ascii="宋体" w:hAnsi="宋体" w:cs="Arial"/>
                <w:color w:val="333333"/>
                <w:kern w:val="0"/>
                <w:sz w:val="22"/>
                <w:szCs w:val="22"/>
              </w:rPr>
              <w:t>能力建设</w:t>
            </w:r>
          </w:p>
        </w:tc>
        <w:tc>
          <w:tcPr>
            <w:tcW w:w="0" w:type="auto"/>
            <w:tcBorders>
              <w:top w:val="nil"/>
              <w:left w:val="nil"/>
              <w:bottom w:val="single" w:color="auto" w:sz="4" w:space="0"/>
              <w:right w:val="single" w:color="auto" w:sz="4" w:space="0"/>
            </w:tcBorders>
            <w:shd w:val="clear" w:color="000000" w:fill="FFFFFF"/>
            <w:vAlign w:val="center"/>
          </w:tcPr>
          <w:p w14:paraId="5DAA261B">
            <w:pPr>
              <w:jc w:val="center"/>
              <w:rPr>
                <w:rFonts w:ascii="宋体" w:hAnsi="宋体" w:cs="Arial"/>
                <w:color w:val="333333"/>
                <w:kern w:val="0"/>
                <w:sz w:val="22"/>
                <w:szCs w:val="22"/>
              </w:rPr>
            </w:pPr>
            <w:r>
              <w:rPr>
                <w:rFonts w:hint="eastAsia" w:ascii="宋体" w:hAnsi="宋体" w:cs="Arial"/>
                <w:color w:val="333333"/>
                <w:kern w:val="0"/>
                <w:sz w:val="22"/>
                <w:szCs w:val="22"/>
              </w:rPr>
              <w:t>长效管理</w:t>
            </w:r>
          </w:p>
        </w:tc>
        <w:tc>
          <w:tcPr>
            <w:tcW w:w="0" w:type="auto"/>
            <w:tcBorders>
              <w:top w:val="nil"/>
              <w:left w:val="nil"/>
              <w:bottom w:val="single" w:color="auto" w:sz="4" w:space="0"/>
              <w:right w:val="single" w:color="auto" w:sz="4" w:space="0"/>
            </w:tcBorders>
            <w:shd w:val="clear" w:color="000000" w:fill="FFFFFF"/>
            <w:vAlign w:val="center"/>
          </w:tcPr>
          <w:p w14:paraId="2FD4480D">
            <w:pPr>
              <w:jc w:val="left"/>
              <w:rPr>
                <w:rFonts w:ascii="宋体" w:hAnsi="宋体" w:cs="Arial"/>
                <w:color w:val="333333"/>
                <w:kern w:val="0"/>
                <w:sz w:val="22"/>
                <w:szCs w:val="22"/>
              </w:rPr>
            </w:pPr>
            <w:r>
              <w:rPr>
                <w:rFonts w:hint="eastAsia" w:ascii="宋体" w:hAnsi="宋体" w:cs="Arial"/>
                <w:color w:val="333333"/>
                <w:kern w:val="0"/>
                <w:sz w:val="22"/>
                <w:szCs w:val="22"/>
              </w:rPr>
              <w:t>中长期规划建设完备程度</w:t>
            </w:r>
          </w:p>
        </w:tc>
        <w:tc>
          <w:tcPr>
            <w:tcW w:w="0" w:type="auto"/>
            <w:tcBorders>
              <w:top w:val="nil"/>
              <w:left w:val="nil"/>
              <w:bottom w:val="single" w:color="auto" w:sz="4" w:space="0"/>
              <w:right w:val="single" w:color="auto" w:sz="4" w:space="0"/>
            </w:tcBorders>
            <w:shd w:val="clear" w:color="000000" w:fill="FFFFFF"/>
            <w:vAlign w:val="center"/>
          </w:tcPr>
          <w:p w14:paraId="559F9029">
            <w:pPr>
              <w:jc w:val="center"/>
              <w:rPr>
                <w:rFonts w:ascii="宋体" w:hAnsi="宋体" w:cs="Arial"/>
                <w:color w:val="333333"/>
                <w:kern w:val="0"/>
                <w:sz w:val="22"/>
                <w:szCs w:val="22"/>
              </w:rPr>
            </w:pPr>
            <w:r>
              <w:rPr>
                <w:rFonts w:hint="eastAsia" w:ascii="宋体" w:hAnsi="宋体" w:cs="Arial"/>
                <w:color w:val="333333"/>
                <w:kern w:val="0"/>
                <w:sz w:val="22"/>
                <w:szCs w:val="22"/>
              </w:rPr>
              <w:t>完备</w:t>
            </w:r>
          </w:p>
        </w:tc>
        <w:tc>
          <w:tcPr>
            <w:tcW w:w="0" w:type="auto"/>
            <w:tcBorders>
              <w:top w:val="nil"/>
              <w:left w:val="nil"/>
              <w:bottom w:val="single" w:color="auto" w:sz="4" w:space="0"/>
              <w:right w:val="single" w:color="auto" w:sz="4" w:space="0"/>
            </w:tcBorders>
            <w:shd w:val="clear" w:color="auto" w:fill="auto"/>
            <w:vAlign w:val="center"/>
          </w:tcPr>
          <w:p w14:paraId="57F8A8C5">
            <w:pPr>
              <w:jc w:val="center"/>
              <w:rPr>
                <w:rFonts w:ascii="宋体" w:hAnsi="宋体" w:cs="Arial"/>
                <w:color w:val="000000"/>
                <w:kern w:val="0"/>
                <w:sz w:val="22"/>
                <w:szCs w:val="22"/>
              </w:rPr>
            </w:pPr>
            <w:r>
              <w:rPr>
                <w:rFonts w:hint="eastAsia" w:ascii="宋体" w:hAnsi="宋体" w:cs="Arial"/>
                <w:color w:val="000000"/>
                <w:kern w:val="0"/>
                <w:sz w:val="22"/>
                <w:szCs w:val="22"/>
              </w:rPr>
              <w:t>100%</w:t>
            </w:r>
          </w:p>
        </w:tc>
        <w:tc>
          <w:tcPr>
            <w:tcW w:w="0" w:type="auto"/>
            <w:tcBorders>
              <w:top w:val="nil"/>
              <w:left w:val="nil"/>
              <w:bottom w:val="single" w:color="auto" w:sz="4" w:space="0"/>
              <w:right w:val="single" w:color="auto" w:sz="4" w:space="0"/>
            </w:tcBorders>
            <w:shd w:val="clear" w:color="auto" w:fill="auto"/>
            <w:vAlign w:val="center"/>
          </w:tcPr>
          <w:p w14:paraId="6E8E2D92">
            <w:pPr>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0" w:type="auto"/>
            <w:tcBorders>
              <w:top w:val="nil"/>
              <w:left w:val="nil"/>
              <w:bottom w:val="single" w:color="auto" w:sz="4" w:space="0"/>
              <w:right w:val="single" w:color="auto" w:sz="4" w:space="0"/>
            </w:tcBorders>
            <w:shd w:val="clear" w:color="000000" w:fill="FFFFFF"/>
            <w:vAlign w:val="center"/>
          </w:tcPr>
          <w:p w14:paraId="3A826301">
            <w:pPr>
              <w:jc w:val="center"/>
              <w:rPr>
                <w:rFonts w:ascii="宋体" w:hAnsi="宋体" w:cs="Arial"/>
                <w:color w:val="333333"/>
                <w:kern w:val="0"/>
                <w:sz w:val="22"/>
                <w:szCs w:val="22"/>
              </w:rPr>
            </w:pPr>
            <w:r>
              <w:rPr>
                <w:rFonts w:hint="eastAsia" w:ascii="宋体" w:hAnsi="宋体" w:cs="Arial"/>
                <w:color w:val="333333"/>
                <w:kern w:val="0"/>
                <w:sz w:val="22"/>
                <w:szCs w:val="22"/>
              </w:rPr>
              <w:t>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115FE162">
            <w:pPr>
              <w:jc w:val="left"/>
              <w:rPr>
                <w:rFonts w:ascii="宋体" w:hAnsi="宋体" w:cs="Arial"/>
                <w:color w:val="333333"/>
                <w:kern w:val="0"/>
                <w:sz w:val="22"/>
                <w:szCs w:val="22"/>
              </w:rPr>
            </w:pPr>
            <w:r>
              <w:rPr>
                <w:rFonts w:hint="eastAsia" w:ascii="宋体" w:hAnsi="宋体" w:cs="Arial"/>
                <w:color w:val="333333"/>
                <w:kern w:val="0"/>
                <w:sz w:val="22"/>
                <w:szCs w:val="22"/>
              </w:rPr>
              <w:t>　</w:t>
            </w:r>
          </w:p>
        </w:tc>
      </w:tr>
      <w:tr w14:paraId="052B6E8A">
        <w:tblPrEx>
          <w:tblCellMar>
            <w:top w:w="0" w:type="dxa"/>
            <w:left w:w="108" w:type="dxa"/>
            <w:bottom w:w="0" w:type="dxa"/>
            <w:right w:w="108" w:type="dxa"/>
          </w:tblCellMar>
        </w:tblPrEx>
        <w:trPr>
          <w:trHeight w:val="563" w:hRule="atLeast"/>
        </w:trPr>
        <w:tc>
          <w:tcPr>
            <w:tcW w:w="0" w:type="auto"/>
            <w:vMerge w:val="continue"/>
            <w:tcBorders>
              <w:top w:val="nil"/>
              <w:left w:val="single" w:color="auto" w:sz="4" w:space="0"/>
              <w:bottom w:val="single" w:color="auto" w:sz="4" w:space="0"/>
              <w:right w:val="single" w:color="auto" w:sz="4" w:space="0"/>
            </w:tcBorders>
            <w:vAlign w:val="center"/>
          </w:tcPr>
          <w:p w14:paraId="189FBBEF">
            <w:pPr>
              <w:jc w:val="left"/>
              <w:rPr>
                <w:rFonts w:ascii="宋体" w:hAnsi="宋体" w:cs="Arial"/>
                <w:color w:val="333333"/>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14:paraId="20298C32">
            <w:pPr>
              <w:jc w:val="center"/>
              <w:rPr>
                <w:rFonts w:ascii="宋体" w:hAnsi="宋体" w:cs="Arial"/>
                <w:color w:val="333333"/>
                <w:kern w:val="0"/>
                <w:sz w:val="22"/>
                <w:szCs w:val="22"/>
              </w:rPr>
            </w:pPr>
            <w:r>
              <w:rPr>
                <w:rFonts w:hint="eastAsia" w:ascii="宋体" w:hAnsi="宋体" w:cs="Arial"/>
                <w:color w:val="333333"/>
                <w:kern w:val="0"/>
                <w:sz w:val="22"/>
                <w:szCs w:val="22"/>
              </w:rPr>
              <w:t>人力资源建设</w:t>
            </w:r>
          </w:p>
        </w:tc>
        <w:tc>
          <w:tcPr>
            <w:tcW w:w="0" w:type="auto"/>
            <w:tcBorders>
              <w:top w:val="nil"/>
              <w:left w:val="nil"/>
              <w:bottom w:val="single" w:color="auto" w:sz="4" w:space="0"/>
              <w:right w:val="single" w:color="auto" w:sz="4" w:space="0"/>
            </w:tcBorders>
            <w:shd w:val="clear" w:color="000000" w:fill="FFFFFF"/>
            <w:vAlign w:val="center"/>
          </w:tcPr>
          <w:p w14:paraId="4993C09A">
            <w:pPr>
              <w:jc w:val="left"/>
              <w:rPr>
                <w:rFonts w:ascii="宋体" w:hAnsi="宋体" w:cs="Arial"/>
                <w:color w:val="333333"/>
                <w:kern w:val="0"/>
                <w:sz w:val="22"/>
                <w:szCs w:val="22"/>
              </w:rPr>
            </w:pPr>
            <w:r>
              <w:rPr>
                <w:rFonts w:hint="eastAsia" w:ascii="宋体" w:hAnsi="宋体" w:cs="Arial"/>
                <w:color w:val="333333"/>
                <w:kern w:val="0"/>
                <w:sz w:val="22"/>
                <w:szCs w:val="22"/>
              </w:rPr>
              <w:t>人员培训机制完备性</w:t>
            </w:r>
          </w:p>
        </w:tc>
        <w:tc>
          <w:tcPr>
            <w:tcW w:w="0" w:type="auto"/>
            <w:tcBorders>
              <w:top w:val="nil"/>
              <w:left w:val="nil"/>
              <w:bottom w:val="single" w:color="auto" w:sz="4" w:space="0"/>
              <w:right w:val="single" w:color="auto" w:sz="4" w:space="0"/>
            </w:tcBorders>
            <w:shd w:val="clear" w:color="000000" w:fill="FFFFFF"/>
            <w:vAlign w:val="center"/>
          </w:tcPr>
          <w:p w14:paraId="15DDCE73">
            <w:pPr>
              <w:jc w:val="center"/>
              <w:rPr>
                <w:rFonts w:ascii="宋体" w:hAnsi="宋体" w:cs="Arial"/>
                <w:color w:val="333333"/>
                <w:kern w:val="0"/>
                <w:sz w:val="22"/>
                <w:szCs w:val="22"/>
              </w:rPr>
            </w:pPr>
            <w:r>
              <w:rPr>
                <w:rFonts w:hint="eastAsia" w:ascii="宋体" w:hAnsi="宋体" w:cs="Arial"/>
                <w:color w:val="333333"/>
                <w:kern w:val="0"/>
                <w:sz w:val="22"/>
                <w:szCs w:val="22"/>
              </w:rPr>
              <w:t>完备</w:t>
            </w:r>
          </w:p>
        </w:tc>
        <w:tc>
          <w:tcPr>
            <w:tcW w:w="0" w:type="auto"/>
            <w:tcBorders>
              <w:top w:val="nil"/>
              <w:left w:val="nil"/>
              <w:bottom w:val="single" w:color="auto" w:sz="4" w:space="0"/>
              <w:right w:val="single" w:color="auto" w:sz="4" w:space="0"/>
            </w:tcBorders>
            <w:shd w:val="clear" w:color="auto" w:fill="auto"/>
            <w:vAlign w:val="center"/>
          </w:tcPr>
          <w:p w14:paraId="2B97D92E">
            <w:pPr>
              <w:jc w:val="center"/>
              <w:rPr>
                <w:rFonts w:ascii="宋体" w:hAnsi="宋体" w:cs="Arial"/>
                <w:color w:val="000000"/>
                <w:kern w:val="0"/>
                <w:sz w:val="22"/>
                <w:szCs w:val="22"/>
              </w:rPr>
            </w:pPr>
            <w:r>
              <w:rPr>
                <w:rFonts w:hint="eastAsia" w:ascii="宋体" w:hAnsi="宋体" w:cs="Arial"/>
                <w:color w:val="000000"/>
                <w:kern w:val="0"/>
                <w:sz w:val="22"/>
                <w:szCs w:val="22"/>
              </w:rPr>
              <w:t>100%</w:t>
            </w:r>
          </w:p>
        </w:tc>
        <w:tc>
          <w:tcPr>
            <w:tcW w:w="0" w:type="auto"/>
            <w:tcBorders>
              <w:top w:val="nil"/>
              <w:left w:val="nil"/>
              <w:bottom w:val="single" w:color="auto" w:sz="4" w:space="0"/>
              <w:right w:val="single" w:color="auto" w:sz="4" w:space="0"/>
            </w:tcBorders>
            <w:shd w:val="clear" w:color="auto" w:fill="auto"/>
            <w:vAlign w:val="center"/>
          </w:tcPr>
          <w:p w14:paraId="72CA4882">
            <w:pPr>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0" w:type="auto"/>
            <w:tcBorders>
              <w:top w:val="nil"/>
              <w:left w:val="nil"/>
              <w:bottom w:val="single" w:color="auto" w:sz="4" w:space="0"/>
              <w:right w:val="single" w:color="auto" w:sz="4" w:space="0"/>
            </w:tcBorders>
            <w:shd w:val="clear" w:color="000000" w:fill="FFFFFF"/>
            <w:vAlign w:val="center"/>
          </w:tcPr>
          <w:p w14:paraId="33CA83A6">
            <w:pPr>
              <w:jc w:val="center"/>
              <w:rPr>
                <w:rFonts w:ascii="宋体" w:hAnsi="宋体" w:cs="Arial"/>
                <w:color w:val="333333"/>
                <w:kern w:val="0"/>
                <w:sz w:val="22"/>
                <w:szCs w:val="22"/>
              </w:rPr>
            </w:pPr>
            <w:r>
              <w:rPr>
                <w:rFonts w:hint="eastAsia" w:ascii="宋体" w:hAnsi="宋体" w:cs="Arial"/>
                <w:color w:val="333333"/>
                <w:kern w:val="0"/>
                <w:sz w:val="22"/>
                <w:szCs w:val="22"/>
              </w:rPr>
              <w:t>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1D2213FC">
            <w:pPr>
              <w:jc w:val="left"/>
              <w:rPr>
                <w:rFonts w:ascii="宋体" w:hAnsi="宋体" w:cs="Arial"/>
                <w:color w:val="333333"/>
                <w:kern w:val="0"/>
                <w:sz w:val="22"/>
                <w:szCs w:val="22"/>
              </w:rPr>
            </w:pPr>
            <w:r>
              <w:rPr>
                <w:rFonts w:hint="eastAsia" w:ascii="宋体" w:hAnsi="宋体" w:cs="Arial"/>
                <w:color w:val="333333"/>
                <w:kern w:val="0"/>
                <w:sz w:val="22"/>
                <w:szCs w:val="22"/>
              </w:rPr>
              <w:t>　</w:t>
            </w:r>
          </w:p>
        </w:tc>
      </w:tr>
      <w:tr w14:paraId="27857AB2">
        <w:tblPrEx>
          <w:tblCellMar>
            <w:top w:w="0" w:type="dxa"/>
            <w:left w:w="108" w:type="dxa"/>
            <w:bottom w:w="0" w:type="dxa"/>
            <w:right w:w="108" w:type="dxa"/>
          </w:tblCellMar>
        </w:tblPrEx>
        <w:trPr>
          <w:trHeight w:val="563" w:hRule="atLeast"/>
        </w:trPr>
        <w:tc>
          <w:tcPr>
            <w:tcW w:w="0" w:type="auto"/>
            <w:vMerge w:val="continue"/>
            <w:tcBorders>
              <w:top w:val="nil"/>
              <w:left w:val="single" w:color="auto" w:sz="4" w:space="0"/>
              <w:bottom w:val="single" w:color="auto" w:sz="4" w:space="0"/>
              <w:right w:val="single" w:color="auto" w:sz="4" w:space="0"/>
            </w:tcBorders>
            <w:vAlign w:val="center"/>
          </w:tcPr>
          <w:p w14:paraId="23734A95">
            <w:pPr>
              <w:jc w:val="left"/>
              <w:rPr>
                <w:rFonts w:ascii="宋体" w:hAnsi="宋体" w:cs="Arial"/>
                <w:color w:val="333333"/>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14:paraId="447D1035">
            <w:pPr>
              <w:jc w:val="center"/>
              <w:rPr>
                <w:rFonts w:ascii="宋体" w:hAnsi="宋体" w:cs="Arial"/>
                <w:color w:val="333333"/>
                <w:kern w:val="0"/>
                <w:sz w:val="22"/>
                <w:szCs w:val="22"/>
              </w:rPr>
            </w:pPr>
            <w:r>
              <w:rPr>
                <w:rFonts w:hint="eastAsia" w:ascii="宋体" w:hAnsi="宋体" w:cs="Arial"/>
                <w:color w:val="333333"/>
                <w:kern w:val="0"/>
                <w:sz w:val="22"/>
                <w:szCs w:val="22"/>
              </w:rPr>
              <w:t>档案管理</w:t>
            </w:r>
          </w:p>
        </w:tc>
        <w:tc>
          <w:tcPr>
            <w:tcW w:w="0" w:type="auto"/>
            <w:tcBorders>
              <w:top w:val="nil"/>
              <w:left w:val="nil"/>
              <w:bottom w:val="single" w:color="auto" w:sz="4" w:space="0"/>
              <w:right w:val="single" w:color="auto" w:sz="4" w:space="0"/>
            </w:tcBorders>
            <w:shd w:val="clear" w:color="000000" w:fill="FFFFFF"/>
            <w:vAlign w:val="center"/>
          </w:tcPr>
          <w:p w14:paraId="63626EF6">
            <w:pPr>
              <w:jc w:val="left"/>
              <w:rPr>
                <w:rFonts w:ascii="宋体" w:hAnsi="宋体" w:cs="Arial"/>
                <w:color w:val="333333"/>
                <w:kern w:val="0"/>
                <w:sz w:val="22"/>
                <w:szCs w:val="22"/>
              </w:rPr>
            </w:pPr>
            <w:r>
              <w:rPr>
                <w:rFonts w:hint="eastAsia" w:ascii="宋体" w:hAnsi="宋体" w:cs="Arial"/>
                <w:color w:val="333333"/>
                <w:kern w:val="0"/>
                <w:sz w:val="22"/>
                <w:szCs w:val="22"/>
              </w:rPr>
              <w:t>档案管理完备性</w:t>
            </w:r>
          </w:p>
        </w:tc>
        <w:tc>
          <w:tcPr>
            <w:tcW w:w="0" w:type="auto"/>
            <w:tcBorders>
              <w:top w:val="nil"/>
              <w:left w:val="nil"/>
              <w:bottom w:val="single" w:color="auto" w:sz="4" w:space="0"/>
              <w:right w:val="single" w:color="auto" w:sz="4" w:space="0"/>
            </w:tcBorders>
            <w:shd w:val="clear" w:color="000000" w:fill="FFFFFF"/>
            <w:vAlign w:val="center"/>
          </w:tcPr>
          <w:p w14:paraId="24EA88A5">
            <w:pPr>
              <w:jc w:val="center"/>
              <w:rPr>
                <w:rFonts w:ascii="宋体" w:hAnsi="宋体" w:cs="Arial"/>
                <w:color w:val="333333"/>
                <w:kern w:val="0"/>
                <w:sz w:val="22"/>
                <w:szCs w:val="22"/>
              </w:rPr>
            </w:pPr>
            <w:r>
              <w:rPr>
                <w:rFonts w:hint="eastAsia" w:ascii="宋体" w:hAnsi="宋体" w:cs="Arial"/>
                <w:color w:val="333333"/>
                <w:kern w:val="0"/>
                <w:sz w:val="22"/>
                <w:szCs w:val="22"/>
              </w:rPr>
              <w:t>完备</w:t>
            </w:r>
          </w:p>
        </w:tc>
        <w:tc>
          <w:tcPr>
            <w:tcW w:w="0" w:type="auto"/>
            <w:tcBorders>
              <w:top w:val="nil"/>
              <w:left w:val="nil"/>
              <w:bottom w:val="single" w:color="auto" w:sz="4" w:space="0"/>
              <w:right w:val="single" w:color="auto" w:sz="4" w:space="0"/>
            </w:tcBorders>
            <w:shd w:val="clear" w:color="auto" w:fill="auto"/>
            <w:vAlign w:val="center"/>
          </w:tcPr>
          <w:p w14:paraId="72672FC5">
            <w:pPr>
              <w:jc w:val="center"/>
              <w:rPr>
                <w:rFonts w:ascii="宋体" w:hAnsi="宋体" w:cs="Arial"/>
                <w:color w:val="000000"/>
                <w:kern w:val="0"/>
                <w:sz w:val="22"/>
                <w:szCs w:val="22"/>
              </w:rPr>
            </w:pPr>
            <w:r>
              <w:rPr>
                <w:rFonts w:hint="eastAsia" w:ascii="宋体" w:hAnsi="宋体" w:cs="Arial"/>
                <w:color w:val="000000"/>
                <w:kern w:val="0"/>
                <w:sz w:val="22"/>
                <w:szCs w:val="22"/>
              </w:rPr>
              <w:t>100%</w:t>
            </w:r>
          </w:p>
        </w:tc>
        <w:tc>
          <w:tcPr>
            <w:tcW w:w="0" w:type="auto"/>
            <w:tcBorders>
              <w:top w:val="nil"/>
              <w:left w:val="nil"/>
              <w:bottom w:val="single" w:color="auto" w:sz="4" w:space="0"/>
              <w:right w:val="single" w:color="auto" w:sz="4" w:space="0"/>
            </w:tcBorders>
            <w:shd w:val="clear" w:color="auto" w:fill="auto"/>
            <w:vAlign w:val="center"/>
          </w:tcPr>
          <w:p w14:paraId="14FC0E44">
            <w:pPr>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0" w:type="auto"/>
            <w:tcBorders>
              <w:top w:val="nil"/>
              <w:left w:val="nil"/>
              <w:bottom w:val="single" w:color="auto" w:sz="4" w:space="0"/>
              <w:right w:val="single" w:color="auto" w:sz="4" w:space="0"/>
            </w:tcBorders>
            <w:shd w:val="clear" w:color="000000" w:fill="FFFFFF"/>
            <w:vAlign w:val="center"/>
          </w:tcPr>
          <w:p w14:paraId="6FF97589">
            <w:pPr>
              <w:jc w:val="center"/>
              <w:rPr>
                <w:rFonts w:ascii="宋体" w:hAnsi="宋体" w:cs="Arial"/>
                <w:color w:val="333333"/>
                <w:kern w:val="0"/>
                <w:sz w:val="22"/>
                <w:szCs w:val="22"/>
              </w:rPr>
            </w:pPr>
            <w:r>
              <w:rPr>
                <w:rFonts w:hint="eastAsia" w:ascii="宋体" w:hAnsi="宋体" w:cs="Arial"/>
                <w:color w:val="333333"/>
                <w:kern w:val="0"/>
                <w:sz w:val="22"/>
                <w:szCs w:val="22"/>
              </w:rPr>
              <w:t>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6070C094">
            <w:pPr>
              <w:jc w:val="left"/>
              <w:rPr>
                <w:rFonts w:ascii="宋体" w:hAnsi="宋体" w:cs="Arial"/>
                <w:color w:val="333333"/>
                <w:kern w:val="0"/>
                <w:sz w:val="22"/>
                <w:szCs w:val="22"/>
              </w:rPr>
            </w:pPr>
            <w:r>
              <w:rPr>
                <w:rFonts w:hint="eastAsia" w:ascii="宋体" w:hAnsi="宋体" w:cs="Arial"/>
                <w:color w:val="333333"/>
                <w:kern w:val="0"/>
                <w:sz w:val="22"/>
                <w:szCs w:val="22"/>
              </w:rPr>
              <w:t>　</w:t>
            </w:r>
          </w:p>
        </w:tc>
      </w:tr>
      <w:tr w14:paraId="6388966A">
        <w:tblPrEx>
          <w:tblCellMar>
            <w:top w:w="0" w:type="dxa"/>
            <w:left w:w="108" w:type="dxa"/>
            <w:bottom w:w="0" w:type="dxa"/>
            <w:right w:w="108" w:type="dxa"/>
          </w:tblCellMar>
        </w:tblPrEx>
        <w:trPr>
          <w:trHeight w:val="469"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14:paraId="75BB5F56">
            <w:pPr>
              <w:jc w:val="center"/>
              <w:rPr>
                <w:rFonts w:ascii="宋体" w:hAnsi="宋体" w:cs="Arial"/>
                <w:b/>
                <w:bCs/>
                <w:kern w:val="0"/>
                <w:sz w:val="22"/>
                <w:szCs w:val="22"/>
              </w:rPr>
            </w:pPr>
            <w:r>
              <w:rPr>
                <w:rFonts w:hint="eastAsia" w:ascii="宋体" w:hAnsi="宋体" w:cs="Arial"/>
                <w:b/>
                <w:bCs/>
                <w:kern w:val="0"/>
                <w:sz w:val="22"/>
                <w:szCs w:val="22"/>
              </w:rPr>
              <w:t>合计</w:t>
            </w:r>
          </w:p>
        </w:tc>
        <w:tc>
          <w:tcPr>
            <w:tcW w:w="0" w:type="auto"/>
            <w:tcBorders>
              <w:top w:val="nil"/>
              <w:left w:val="nil"/>
              <w:bottom w:val="single" w:color="auto" w:sz="4" w:space="0"/>
              <w:right w:val="single" w:color="auto" w:sz="4" w:space="0"/>
            </w:tcBorders>
            <w:shd w:val="clear" w:color="auto" w:fill="auto"/>
            <w:noWrap/>
            <w:vAlign w:val="center"/>
          </w:tcPr>
          <w:p w14:paraId="79D55561">
            <w:pPr>
              <w:jc w:val="center"/>
              <w:rPr>
                <w:rFonts w:ascii="宋体" w:hAnsi="宋体" w:cs="Arial"/>
                <w:b/>
                <w:bCs/>
                <w:kern w:val="0"/>
                <w:sz w:val="22"/>
                <w:szCs w:val="22"/>
              </w:rPr>
            </w:pPr>
            <w:r>
              <w:rPr>
                <w:rFonts w:hint="eastAsia" w:ascii="宋体" w:hAnsi="宋体" w:cs="Arial"/>
                <w:b/>
                <w:bCs/>
                <w:kern w:val="0"/>
                <w:sz w:val="22"/>
                <w:szCs w:val="22"/>
              </w:rPr>
              <w:t>100</w:t>
            </w:r>
          </w:p>
        </w:tc>
        <w:tc>
          <w:tcPr>
            <w:tcW w:w="0" w:type="auto"/>
            <w:tcBorders>
              <w:top w:val="nil"/>
              <w:left w:val="nil"/>
              <w:bottom w:val="single" w:color="auto" w:sz="4" w:space="0"/>
              <w:right w:val="single" w:color="auto" w:sz="4" w:space="0"/>
            </w:tcBorders>
            <w:shd w:val="clear" w:color="auto" w:fill="auto"/>
            <w:vAlign w:val="center"/>
          </w:tcPr>
          <w:p w14:paraId="524654FB">
            <w:pPr>
              <w:jc w:val="center"/>
              <w:rPr>
                <w:rFonts w:ascii="宋体" w:hAnsi="宋体" w:cs="Arial"/>
                <w:b/>
                <w:bCs/>
                <w:color w:val="000000"/>
                <w:kern w:val="0"/>
                <w:sz w:val="22"/>
                <w:szCs w:val="22"/>
              </w:rPr>
            </w:pPr>
            <w:r>
              <w:rPr>
                <w:rFonts w:hint="eastAsia" w:ascii="宋体" w:hAnsi="宋体" w:cs="Arial"/>
                <w:b/>
                <w:bCs/>
                <w:color w:val="000000"/>
                <w:kern w:val="0"/>
                <w:sz w:val="22"/>
                <w:szCs w:val="22"/>
              </w:rPr>
              <w:t>100</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22C347D7">
            <w:pPr>
              <w:jc w:val="center"/>
              <w:rPr>
                <w:rFonts w:ascii="宋体" w:hAnsi="宋体" w:cs="Arial"/>
                <w:b/>
                <w:bCs/>
                <w:kern w:val="0"/>
                <w:sz w:val="22"/>
                <w:szCs w:val="22"/>
              </w:rPr>
            </w:pPr>
            <w:r>
              <w:rPr>
                <w:rFonts w:hint="eastAsia" w:ascii="宋体" w:hAnsi="宋体" w:cs="Arial"/>
                <w:b/>
                <w:bCs/>
                <w:kern w:val="0"/>
                <w:sz w:val="22"/>
                <w:szCs w:val="22"/>
              </w:rPr>
              <w:t>优秀</w:t>
            </w:r>
          </w:p>
        </w:tc>
      </w:tr>
      <w:tr w14:paraId="0342D1D4">
        <w:tblPrEx>
          <w:tblCellMar>
            <w:top w:w="0" w:type="dxa"/>
            <w:left w:w="108" w:type="dxa"/>
            <w:bottom w:w="0" w:type="dxa"/>
            <w:right w:w="108" w:type="dxa"/>
          </w:tblCellMar>
        </w:tblPrEx>
        <w:trPr>
          <w:trHeight w:val="360" w:hRule="atLeast"/>
        </w:trPr>
        <w:tc>
          <w:tcPr>
            <w:tcW w:w="0" w:type="auto"/>
            <w:gridSpan w:val="9"/>
            <w:tcBorders>
              <w:top w:val="single" w:color="auto" w:sz="4" w:space="0"/>
              <w:left w:val="single" w:color="auto" w:sz="4" w:space="0"/>
              <w:bottom w:val="single" w:color="auto" w:sz="4" w:space="0"/>
              <w:right w:val="single" w:color="auto" w:sz="4" w:space="0"/>
            </w:tcBorders>
            <w:shd w:val="clear" w:color="auto" w:fill="auto"/>
            <w:vAlign w:val="center"/>
          </w:tcPr>
          <w:p w14:paraId="507C3F26">
            <w:pPr>
              <w:jc w:val="left"/>
              <w:rPr>
                <w:rFonts w:ascii="宋体" w:hAnsi="宋体" w:cs="Arial"/>
                <w:color w:val="000000"/>
                <w:kern w:val="0"/>
                <w:sz w:val="20"/>
              </w:rPr>
            </w:pPr>
            <w:r>
              <w:rPr>
                <w:rFonts w:hint="eastAsia" w:ascii="宋体" w:hAnsi="宋体" w:cs="Arial"/>
                <w:color w:val="000000"/>
                <w:kern w:val="0"/>
                <w:sz w:val="20"/>
              </w:rPr>
              <w:t>其他需要说明的问题：请在此处简要说明中央和省委巡视、各级审计和财政监督中发现的问题及其所涉及的金额，如没有填无。</w:t>
            </w:r>
          </w:p>
        </w:tc>
      </w:tr>
      <w:tr w14:paraId="7E8FB7BE">
        <w:tblPrEx>
          <w:tblCellMar>
            <w:top w:w="0" w:type="dxa"/>
            <w:left w:w="108" w:type="dxa"/>
            <w:bottom w:w="0" w:type="dxa"/>
            <w:right w:w="108" w:type="dxa"/>
          </w:tblCellMar>
        </w:tblPrEx>
        <w:trPr>
          <w:trHeight w:val="1058" w:hRule="atLeast"/>
        </w:trPr>
        <w:tc>
          <w:tcPr>
            <w:tcW w:w="0" w:type="auto"/>
            <w:gridSpan w:val="9"/>
            <w:tcBorders>
              <w:top w:val="nil"/>
              <w:left w:val="nil"/>
              <w:bottom w:val="nil"/>
              <w:right w:val="nil"/>
            </w:tcBorders>
            <w:shd w:val="clear" w:color="auto" w:fill="auto"/>
            <w:vAlign w:val="center"/>
          </w:tcPr>
          <w:p w14:paraId="78D1F69A">
            <w:pPr>
              <w:jc w:val="left"/>
              <w:rPr>
                <w:rFonts w:ascii="宋体" w:hAnsi="宋体" w:cs="Arial"/>
                <w:color w:val="000000"/>
                <w:kern w:val="0"/>
                <w:sz w:val="20"/>
              </w:rPr>
            </w:pPr>
            <w:r>
              <w:rPr>
                <w:rFonts w:hint="eastAsia" w:ascii="宋体" w:hAnsi="宋体" w:cs="Arial"/>
                <w:color w:val="000000"/>
                <w:kern w:val="0"/>
                <w:sz w:val="20"/>
              </w:rPr>
              <w:t>注： 1.部门（单位）整体支出绩效自评采取打分评价形式，满分为100分，各部门可根据指标的重要程度自主确定各项二、三级指标的权重分值，各项指标得分加总得出该项目绩效自评的总分（中央和省委巡视、各级审计和财政监督中发现问题的酌情扣分），各项指标得分最高不能超过该指标分值上限，原则上一级指标分值统一设置为：预算执行率10分、部门管理指标20分、履职效果指标50分、能力建设指标10分、服务对象满意度指标10分，二、三级指标权重分值由各部门根据指标重要程度、项目实施阶段等因素综合确定。</w:t>
            </w:r>
          </w:p>
        </w:tc>
      </w:tr>
      <w:tr w14:paraId="45E034D5">
        <w:tblPrEx>
          <w:tblCellMar>
            <w:top w:w="0" w:type="dxa"/>
            <w:left w:w="108" w:type="dxa"/>
            <w:bottom w:w="0" w:type="dxa"/>
            <w:right w:w="108" w:type="dxa"/>
          </w:tblCellMar>
        </w:tblPrEx>
        <w:trPr>
          <w:trHeight w:val="1043" w:hRule="atLeast"/>
        </w:trPr>
        <w:tc>
          <w:tcPr>
            <w:tcW w:w="0" w:type="auto"/>
            <w:gridSpan w:val="9"/>
            <w:tcBorders>
              <w:top w:val="nil"/>
              <w:left w:val="nil"/>
              <w:bottom w:val="nil"/>
              <w:right w:val="nil"/>
            </w:tcBorders>
            <w:shd w:val="clear" w:color="auto" w:fill="auto"/>
            <w:vAlign w:val="center"/>
          </w:tcPr>
          <w:p w14:paraId="79A34B77">
            <w:pPr>
              <w:jc w:val="left"/>
              <w:rPr>
                <w:rFonts w:ascii="宋体" w:hAnsi="宋体" w:cs="Arial"/>
                <w:color w:val="000000"/>
                <w:kern w:val="0"/>
                <w:sz w:val="20"/>
              </w:rPr>
            </w:pPr>
            <w:r>
              <w:rPr>
                <w:rFonts w:hint="eastAsia" w:ascii="宋体" w:hAnsi="宋体" w:cs="Arial"/>
                <w:color w:val="000000"/>
                <w:kern w:val="0"/>
                <w:sz w:val="20"/>
              </w:rPr>
              <w:t xml:space="preserve">     2.部门整体支出绩效自评结果，应根据部门本级和所属单位整体支出自评情况分析汇总形成，对于定量指标，绝对值直接累加计算，相对值按照资金额度加权平均计算；定性指标根据指标完成情况分为：全部或基本达成预期指标、部分达成预期指标并具有一定效果、未达成预期指标且效果较差三档，分别按照100%-80%（含）、80%-60%（含）、60%-0%合理填写完成比例，汇总时以资金额度为权重，对分值加权平均计算。</w:t>
            </w:r>
          </w:p>
        </w:tc>
      </w:tr>
    </w:tbl>
    <w:p w14:paraId="32639629">
      <w:pPr>
        <w:spacing w:before="100" w:after="100"/>
        <w:jc w:val="left"/>
        <w:rPr>
          <w:rFonts w:ascii="宋体" w:hAnsi="宋体"/>
          <w:sz w:val="24"/>
          <w:szCs w:val="24"/>
        </w:rPr>
      </w:pPr>
    </w:p>
    <w:p w14:paraId="110946A2">
      <w:pPr>
        <w:spacing w:before="100" w:after="100"/>
        <w:jc w:val="center"/>
        <w:rPr>
          <w:rFonts w:ascii="宋体" w:hAnsi="宋体"/>
          <w:sz w:val="24"/>
          <w:szCs w:val="24"/>
          <w:lang w:val="zh-CN"/>
        </w:rPr>
      </w:pPr>
      <w:r>
        <w:rPr>
          <w:rFonts w:hint="eastAsia" w:ascii="宋体" w:hAnsi="宋体"/>
          <w:b/>
          <w:sz w:val="24"/>
          <w:szCs w:val="24"/>
          <w:lang w:val="zh-CN"/>
        </w:rPr>
        <w:t>第五部分名词解释</w:t>
      </w:r>
    </w:p>
    <w:p w14:paraId="4E55E1C2">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lang w:val="zh-CN"/>
        </w:rPr>
      </w:pPr>
      <w:r>
        <w:rPr>
          <w:rFonts w:hint="eastAsia" w:ascii="宋体" w:hAnsi="宋体" w:eastAsia="宋体" w:cs="宋体"/>
          <w:b/>
          <w:sz w:val="24"/>
          <w:szCs w:val="24"/>
          <w:lang w:val="zh-CN"/>
        </w:rPr>
        <w:t>1.财政拨款收入</w:t>
      </w:r>
      <w:r>
        <w:rPr>
          <w:rFonts w:hint="eastAsia" w:ascii="宋体" w:hAnsi="宋体" w:eastAsia="宋体" w:cs="宋体"/>
          <w:sz w:val="24"/>
          <w:szCs w:val="24"/>
          <w:lang w:val="zh-CN"/>
        </w:rPr>
        <w:t>：指本年度从同级财政部门取得的财政拨款,包括一般公共预算财政拨款、政府性基金预算财政拨款和国有资本经营预算财政拨款。</w:t>
      </w:r>
    </w:p>
    <w:p w14:paraId="7DE610E6">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lang w:val="zh-CN"/>
        </w:rPr>
      </w:pPr>
      <w:r>
        <w:rPr>
          <w:rFonts w:hint="eastAsia" w:ascii="宋体" w:hAnsi="宋体" w:eastAsia="宋体" w:cs="宋体"/>
          <w:b/>
          <w:sz w:val="24"/>
          <w:szCs w:val="24"/>
          <w:lang w:val="zh-CN"/>
        </w:rPr>
        <w:t>2.事业收入</w:t>
      </w:r>
      <w:r>
        <w:rPr>
          <w:rFonts w:hint="eastAsia" w:ascii="宋体" w:hAnsi="宋体" w:eastAsia="宋体" w:cs="宋体"/>
          <w:sz w:val="24"/>
          <w:szCs w:val="24"/>
          <w:lang w:val="zh-CN"/>
        </w:rPr>
        <w:t>：指事业单位开展专业业务活动及其辅助活动取得的收入。</w:t>
      </w:r>
    </w:p>
    <w:p w14:paraId="74B98BA1">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lang w:val="zh-CN"/>
        </w:rPr>
      </w:pPr>
      <w:r>
        <w:rPr>
          <w:rFonts w:hint="eastAsia" w:ascii="宋体" w:hAnsi="宋体" w:eastAsia="宋体" w:cs="宋体"/>
          <w:b/>
          <w:sz w:val="24"/>
          <w:szCs w:val="24"/>
          <w:lang w:val="zh-CN"/>
        </w:rPr>
        <w:t>3.经营收入</w:t>
      </w:r>
      <w:r>
        <w:rPr>
          <w:rFonts w:hint="eastAsia" w:ascii="宋体" w:hAnsi="宋体" w:eastAsia="宋体" w:cs="宋体"/>
          <w:sz w:val="24"/>
          <w:szCs w:val="24"/>
          <w:lang w:val="zh-CN"/>
        </w:rPr>
        <w:t>：指事业单位在专业业务活动及其辅助活动之外开展非独立核算经营活动取得的收入。</w:t>
      </w:r>
    </w:p>
    <w:p w14:paraId="477AF162">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lang w:val="zh-CN"/>
        </w:rPr>
      </w:pPr>
      <w:r>
        <w:rPr>
          <w:rFonts w:hint="eastAsia" w:ascii="宋体" w:hAnsi="宋体" w:eastAsia="宋体" w:cs="宋体"/>
          <w:b/>
          <w:sz w:val="24"/>
          <w:szCs w:val="24"/>
          <w:lang w:val="zh-CN"/>
        </w:rPr>
        <w:t>4.其他收入</w:t>
      </w:r>
      <w:r>
        <w:rPr>
          <w:rFonts w:hint="eastAsia" w:ascii="宋体" w:hAnsi="宋体" w:eastAsia="宋体" w:cs="宋体"/>
          <w:sz w:val="24"/>
          <w:szCs w:val="24"/>
          <w:lang w:val="zh-CN"/>
        </w:rPr>
        <w:t>：指除上述“财政拨款收入”“事业收入”、“经营收入”以外的收入。</w:t>
      </w:r>
    </w:p>
    <w:p w14:paraId="25433829">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lang w:val="zh-CN"/>
        </w:rPr>
      </w:pPr>
      <w:r>
        <w:rPr>
          <w:rFonts w:hint="eastAsia" w:ascii="宋体" w:hAnsi="宋体" w:eastAsia="宋体" w:cs="宋体"/>
          <w:b/>
          <w:bCs/>
          <w:sz w:val="24"/>
          <w:szCs w:val="24"/>
          <w:lang w:val="zh-CN"/>
        </w:rPr>
        <w:t>5.使用非财政拨款结余（含专用结余）：</w:t>
      </w:r>
      <w:r>
        <w:rPr>
          <w:rFonts w:hint="eastAsia" w:ascii="宋体" w:hAnsi="宋体" w:eastAsia="宋体" w:cs="宋体"/>
          <w:sz w:val="24"/>
          <w:szCs w:val="24"/>
          <w:lang w:val="zh-CN"/>
        </w:rPr>
        <w:t>指事业单位按照预算管理要求使用非财政拨款结余弥补收支差额的金额，以及使用专用结余安排支出的金额。</w:t>
      </w:r>
    </w:p>
    <w:p w14:paraId="0A7ADAA5">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lang w:val="zh-CN"/>
        </w:rPr>
      </w:pPr>
      <w:r>
        <w:rPr>
          <w:rFonts w:hint="eastAsia" w:ascii="宋体" w:hAnsi="宋体" w:eastAsia="宋体" w:cs="宋体"/>
          <w:b/>
          <w:sz w:val="24"/>
          <w:szCs w:val="24"/>
          <w:lang w:val="zh-CN"/>
        </w:rPr>
        <w:t>6.年初结转和结余</w:t>
      </w:r>
      <w:r>
        <w:rPr>
          <w:rFonts w:hint="eastAsia" w:ascii="宋体" w:hAnsi="宋体" w:eastAsia="宋体" w:cs="宋体"/>
          <w:sz w:val="24"/>
          <w:szCs w:val="24"/>
          <w:lang w:val="zh-CN"/>
        </w:rPr>
        <w:t>：指单位上年结转至本年使用的基本支出结转、项目支出结转和结余、经营结余。</w:t>
      </w:r>
    </w:p>
    <w:p w14:paraId="17DA95C5">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lang w:val="zh-CN"/>
        </w:rPr>
      </w:pPr>
      <w:r>
        <w:rPr>
          <w:rFonts w:hint="eastAsia" w:ascii="宋体" w:hAnsi="宋体" w:eastAsia="宋体" w:cs="宋体"/>
          <w:b/>
          <w:sz w:val="24"/>
          <w:szCs w:val="24"/>
          <w:lang w:val="zh-CN"/>
        </w:rPr>
        <w:t>7.结余分配</w:t>
      </w:r>
      <w:r>
        <w:rPr>
          <w:rFonts w:hint="eastAsia" w:ascii="宋体" w:hAnsi="宋体" w:eastAsia="宋体" w:cs="宋体"/>
          <w:sz w:val="24"/>
          <w:szCs w:val="24"/>
          <w:lang w:val="zh-CN"/>
        </w:rPr>
        <w:t>：指单位按照会计制度规定缴纳的所得税、提取的专用结余以及转入非财政拨款结余的金额等。</w:t>
      </w:r>
    </w:p>
    <w:p w14:paraId="2A9729C3">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lang w:val="zh-CN"/>
        </w:rPr>
      </w:pPr>
      <w:r>
        <w:rPr>
          <w:rFonts w:hint="eastAsia" w:ascii="宋体" w:hAnsi="宋体" w:eastAsia="宋体" w:cs="宋体"/>
          <w:b/>
          <w:sz w:val="24"/>
          <w:szCs w:val="24"/>
          <w:lang w:val="zh-CN"/>
        </w:rPr>
        <w:t>8.年末结转和结余</w:t>
      </w:r>
      <w:r>
        <w:rPr>
          <w:rFonts w:hint="eastAsia" w:ascii="宋体" w:hAnsi="宋体" w:eastAsia="宋体" w:cs="宋体"/>
          <w:sz w:val="24"/>
          <w:szCs w:val="24"/>
          <w:lang w:val="zh-CN"/>
        </w:rPr>
        <w:t>：指单位按有关规定结转到下年的基本支出结转、项目支出结转和结余、经营结余。</w:t>
      </w:r>
    </w:p>
    <w:p w14:paraId="5358C23F">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lang w:val="zh-CN"/>
        </w:rPr>
      </w:pPr>
      <w:r>
        <w:rPr>
          <w:rFonts w:hint="eastAsia" w:ascii="宋体" w:hAnsi="宋体" w:eastAsia="宋体" w:cs="宋体"/>
          <w:b/>
          <w:sz w:val="24"/>
          <w:szCs w:val="24"/>
          <w:lang w:val="zh-CN"/>
        </w:rPr>
        <w:t>9.基本支出</w:t>
      </w:r>
      <w:r>
        <w:rPr>
          <w:rFonts w:hint="eastAsia" w:ascii="宋体" w:hAnsi="宋体" w:eastAsia="宋体" w:cs="宋体"/>
          <w:sz w:val="24"/>
          <w:szCs w:val="24"/>
          <w:lang w:val="zh-CN"/>
        </w:rPr>
        <w:t>：指为保障机构正常运转、完成日常工作任务而发生的人员经费和公用经费。</w:t>
      </w:r>
    </w:p>
    <w:p w14:paraId="22F8D53A">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lang w:val="zh-CN"/>
        </w:rPr>
      </w:pPr>
      <w:r>
        <w:rPr>
          <w:rFonts w:hint="eastAsia" w:ascii="宋体" w:hAnsi="宋体" w:eastAsia="宋体" w:cs="宋体"/>
          <w:b/>
          <w:sz w:val="24"/>
          <w:szCs w:val="24"/>
          <w:lang w:val="zh-CN"/>
        </w:rPr>
        <w:t>10.项目支出</w:t>
      </w:r>
      <w:r>
        <w:rPr>
          <w:rFonts w:hint="eastAsia" w:ascii="宋体" w:hAnsi="宋体" w:eastAsia="宋体" w:cs="宋体"/>
          <w:sz w:val="24"/>
          <w:szCs w:val="24"/>
          <w:lang w:val="zh-CN"/>
        </w:rPr>
        <w:t>：指在基本支出之外为完成特定行政任务或事业发展目标所发生的支出。</w:t>
      </w:r>
    </w:p>
    <w:p w14:paraId="6BF1AA3A">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lang w:val="zh-CN"/>
        </w:rPr>
      </w:pPr>
      <w:r>
        <w:rPr>
          <w:rFonts w:hint="eastAsia" w:ascii="宋体" w:hAnsi="宋体" w:eastAsia="宋体" w:cs="宋体"/>
          <w:b/>
          <w:sz w:val="24"/>
          <w:szCs w:val="24"/>
          <w:lang w:val="zh-CN"/>
        </w:rPr>
        <w:t>11.经营支出</w:t>
      </w:r>
      <w:r>
        <w:rPr>
          <w:rFonts w:hint="eastAsia" w:ascii="宋体" w:hAnsi="宋体" w:eastAsia="宋体" w:cs="宋体"/>
          <w:sz w:val="24"/>
          <w:szCs w:val="24"/>
          <w:lang w:val="zh-CN"/>
        </w:rPr>
        <w:t>：指事业单位在专业业务活动及其辅助活动之外开展非独立核算经营活动发生的支出。</w:t>
      </w:r>
    </w:p>
    <w:p w14:paraId="7C9E505D">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lang w:val="zh-CN"/>
        </w:rPr>
      </w:pPr>
      <w:r>
        <w:rPr>
          <w:rFonts w:hint="eastAsia" w:ascii="宋体" w:hAnsi="宋体" w:eastAsia="宋体" w:cs="宋体"/>
          <w:b/>
          <w:sz w:val="24"/>
          <w:szCs w:val="24"/>
          <w:lang w:val="zh-CN"/>
        </w:rPr>
        <w:t>12.“三公”经费</w:t>
      </w:r>
      <w:r>
        <w:rPr>
          <w:rFonts w:hint="eastAsia" w:ascii="宋体" w:hAnsi="宋体" w:eastAsia="宋体" w:cs="宋体"/>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3C9D392">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lang w:val="zh-CN"/>
        </w:rPr>
      </w:pPr>
      <w:r>
        <w:rPr>
          <w:rFonts w:hint="eastAsia" w:ascii="宋体" w:hAnsi="宋体" w:eastAsia="宋体" w:cs="宋体"/>
          <w:b/>
          <w:sz w:val="24"/>
          <w:szCs w:val="24"/>
          <w:lang w:val="zh-CN"/>
        </w:rPr>
        <w:t>13.机关运行经费</w:t>
      </w:r>
      <w:r>
        <w:rPr>
          <w:rFonts w:hint="eastAsia" w:ascii="宋体" w:hAnsi="宋体" w:eastAsia="宋体" w:cs="宋体"/>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4DC5809">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14.一般公共服务支出（类）:</w:t>
      </w:r>
      <w:r>
        <w:rPr>
          <w:rFonts w:hint="eastAsia" w:ascii="宋体" w:hAnsi="宋体" w:eastAsia="宋体" w:cs="宋体"/>
          <w:color w:val="000000"/>
          <w:sz w:val="24"/>
          <w:szCs w:val="24"/>
        </w:rPr>
        <w:t>反映政府提供一般公共服务的支出。</w:t>
      </w:r>
    </w:p>
    <w:p w14:paraId="01D5FD15">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15.一般公共服务支出（类）发展与改革事务（款）:</w:t>
      </w:r>
      <w:r>
        <w:rPr>
          <w:rFonts w:hint="eastAsia" w:ascii="宋体" w:hAnsi="宋体" w:eastAsia="宋体" w:cs="宋体"/>
          <w:color w:val="000000"/>
          <w:sz w:val="24"/>
          <w:szCs w:val="24"/>
        </w:rPr>
        <w:t>反映发展与改革事务方面的支出。</w:t>
      </w:r>
    </w:p>
    <w:p w14:paraId="442F8660">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16.一般公共服务支出（类）发展与改革事务（款）其他发展与改革事务支出（项）:</w:t>
      </w:r>
      <w:r>
        <w:rPr>
          <w:rFonts w:hint="eastAsia" w:ascii="宋体" w:hAnsi="宋体" w:eastAsia="宋体" w:cs="宋体"/>
          <w:color w:val="000000"/>
          <w:sz w:val="24"/>
          <w:szCs w:val="24"/>
        </w:rPr>
        <w:t>反映除上述项目以外的其他发展与改革事务支出。</w:t>
      </w:r>
    </w:p>
    <w:p w14:paraId="64745F19">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17.科学技术支出（类）:</w:t>
      </w:r>
      <w:r>
        <w:rPr>
          <w:rFonts w:hint="eastAsia" w:ascii="宋体" w:hAnsi="宋体" w:eastAsia="宋体" w:cs="宋体"/>
          <w:color w:val="000000"/>
          <w:sz w:val="24"/>
          <w:szCs w:val="24"/>
        </w:rPr>
        <w:t>反映科学技术方面的支出。</w:t>
      </w:r>
    </w:p>
    <w:p w14:paraId="279EA1C5">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18.科学技术支出（类）科技条件与服务（款）:</w:t>
      </w:r>
      <w:r>
        <w:rPr>
          <w:rFonts w:hint="eastAsia" w:ascii="宋体" w:hAnsi="宋体" w:eastAsia="宋体" w:cs="宋体"/>
          <w:color w:val="000000"/>
          <w:sz w:val="24"/>
          <w:szCs w:val="24"/>
        </w:rPr>
        <w:t>反映用于完善科技条件及从事科技标准、计量和检测，科技数据、种质资源、标本、基因的收集、加工处理和服务，科技文献信息资源的采集、保存、加工和服务等为科技活动提供基础性、通用性服务的支出。</w:t>
      </w:r>
    </w:p>
    <w:p w14:paraId="6CB29EF4">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19.科学技术支出（类）科技条件与服务（款）科技条件专项（项）:</w:t>
      </w:r>
      <w:r>
        <w:rPr>
          <w:rFonts w:hint="eastAsia" w:ascii="宋体" w:hAnsi="宋体" w:eastAsia="宋体" w:cs="宋体"/>
          <w:color w:val="000000"/>
          <w:sz w:val="24"/>
          <w:szCs w:val="24"/>
        </w:rPr>
        <w:t>反映国家用于完善科技条件的支出，包括科技文献信息、网络环境支撑等科技条件专项支出等。</w:t>
      </w:r>
    </w:p>
    <w:p w14:paraId="79C5FE00">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20.科学技术支出（类）科技重大项目（款）:</w:t>
      </w:r>
      <w:r>
        <w:rPr>
          <w:rFonts w:hint="eastAsia" w:ascii="宋体" w:hAnsi="宋体" w:eastAsia="宋体" w:cs="宋体"/>
          <w:color w:val="000000"/>
          <w:sz w:val="24"/>
          <w:szCs w:val="24"/>
        </w:rPr>
        <w:t>反映用于科技重大专项和重点研发计划的有关经费支出。</w:t>
      </w:r>
    </w:p>
    <w:p w14:paraId="237A33B8">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21.科学技术支出（类）科技重大项目（款）重点研发计划（项）:</w:t>
      </w:r>
      <w:r>
        <w:rPr>
          <w:rFonts w:hint="eastAsia" w:ascii="宋体" w:hAnsi="宋体" w:eastAsia="宋体" w:cs="宋体"/>
          <w:color w:val="000000"/>
          <w:sz w:val="24"/>
          <w:szCs w:val="24"/>
        </w:rPr>
        <w:t>反映用于重点研发计划的有关经费支出。</w:t>
      </w:r>
    </w:p>
    <w:p w14:paraId="5189F28D">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22.科学技术支出（类）其他科学技术支出（款）:</w:t>
      </w:r>
      <w:r>
        <w:rPr>
          <w:rFonts w:hint="eastAsia" w:ascii="宋体" w:hAnsi="宋体" w:eastAsia="宋体" w:cs="宋体"/>
          <w:color w:val="000000"/>
          <w:sz w:val="24"/>
          <w:szCs w:val="24"/>
        </w:rPr>
        <w:t>反映除以上各项以外用于科技方面的支出，包括科技奖励支出等。</w:t>
      </w:r>
    </w:p>
    <w:p w14:paraId="6268E4DE">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23.科学技术支出（类）其他科学技术支出（款）其他科学技术支出（项）:</w:t>
      </w:r>
      <w:r>
        <w:rPr>
          <w:rFonts w:hint="eastAsia" w:ascii="宋体" w:hAnsi="宋体" w:eastAsia="宋体" w:cs="宋体"/>
          <w:color w:val="000000"/>
          <w:sz w:val="24"/>
          <w:szCs w:val="24"/>
        </w:rPr>
        <w:t>反映其他科学技术支出中除以上各项外用于科技方面的支出。</w:t>
      </w:r>
    </w:p>
    <w:p w14:paraId="00B3DC3C">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24.文化旅游体育与传媒支出（类）:</w:t>
      </w:r>
      <w:r>
        <w:rPr>
          <w:rFonts w:hint="eastAsia" w:ascii="宋体" w:hAnsi="宋体" w:eastAsia="宋体" w:cs="宋体"/>
          <w:color w:val="000000"/>
          <w:sz w:val="24"/>
          <w:szCs w:val="24"/>
        </w:rPr>
        <w:t>反映政府在文化、旅游、文物、体育、广播电视、电影、新闻出版等方面的支出。</w:t>
      </w:r>
    </w:p>
    <w:p w14:paraId="36D17680">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25.文化旅游体育与传媒支出（类）文化和旅游（款）:</w:t>
      </w:r>
      <w:r>
        <w:rPr>
          <w:rFonts w:hint="eastAsia" w:ascii="宋体" w:hAnsi="宋体" w:eastAsia="宋体" w:cs="宋体"/>
          <w:color w:val="000000"/>
          <w:sz w:val="24"/>
          <w:szCs w:val="24"/>
        </w:rPr>
        <w:t>反映政府用于公共文化设施、艺术表演团体、文化艺术活动、对外文化交流及旅游业管理与服务等方面的支出。</w:t>
      </w:r>
    </w:p>
    <w:p w14:paraId="7B8C53BA">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26.文化旅游体育与传媒支出（类）文化和旅游（款）其他文化和旅游支出（项）:</w:t>
      </w:r>
      <w:r>
        <w:rPr>
          <w:rFonts w:hint="eastAsia" w:ascii="宋体" w:hAnsi="宋体" w:eastAsia="宋体" w:cs="宋体"/>
          <w:color w:val="000000"/>
          <w:sz w:val="24"/>
          <w:szCs w:val="24"/>
        </w:rPr>
        <w:t>反映除上述项目以外其他用于文化和旅游方面的支出。</w:t>
      </w:r>
    </w:p>
    <w:p w14:paraId="0014DA65">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27.社会保障和就业支出（类）:</w:t>
      </w:r>
      <w:r>
        <w:rPr>
          <w:rFonts w:hint="eastAsia" w:ascii="宋体" w:hAnsi="宋体" w:eastAsia="宋体" w:cs="宋体"/>
          <w:color w:val="000000"/>
          <w:sz w:val="24"/>
          <w:szCs w:val="24"/>
        </w:rPr>
        <w:t>反映政府在社会保障与就业方面的支出。</w:t>
      </w:r>
    </w:p>
    <w:p w14:paraId="6204572B">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28.社会保障和就业支出（类）行政事业单位养老支出（款）:</w:t>
      </w:r>
      <w:r>
        <w:rPr>
          <w:rFonts w:hint="eastAsia" w:ascii="宋体" w:hAnsi="宋体" w:eastAsia="宋体" w:cs="宋体"/>
          <w:color w:val="000000"/>
          <w:sz w:val="24"/>
          <w:szCs w:val="24"/>
        </w:rPr>
        <w:t>反映用于行政事业单位养老方面的支出。</w:t>
      </w:r>
    </w:p>
    <w:p w14:paraId="73474DE1">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29.社会保障和就业支出（类）行政事业单位养老支出（款）行政单位离退休（项）:</w:t>
      </w:r>
      <w:r>
        <w:rPr>
          <w:rFonts w:hint="eastAsia" w:ascii="宋体" w:hAnsi="宋体" w:eastAsia="宋体" w:cs="宋体"/>
          <w:color w:val="000000"/>
          <w:sz w:val="24"/>
          <w:szCs w:val="24"/>
        </w:rPr>
        <w:t>反映甘肃省林业和草原局开支的离退休经费。</w:t>
      </w:r>
    </w:p>
    <w:p w14:paraId="4406CA2F">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30.社会保障和就业支出（类）行政事业单位养老支出（款）事业单位离退休（项）:</w:t>
      </w:r>
      <w:r>
        <w:rPr>
          <w:rFonts w:hint="eastAsia" w:ascii="宋体" w:hAnsi="宋体" w:eastAsia="宋体" w:cs="宋体"/>
          <w:color w:val="000000"/>
          <w:sz w:val="24"/>
          <w:szCs w:val="24"/>
        </w:rPr>
        <w:t>反映事业单位开支的离退休经费。</w:t>
      </w:r>
    </w:p>
    <w:p w14:paraId="27279B2E">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31.社会保障和就业支出（类）行政事业单位养老支出（款）机关事业单位基本养老保险缴费支出（项）:</w:t>
      </w:r>
      <w:r>
        <w:rPr>
          <w:rFonts w:hint="eastAsia" w:ascii="宋体" w:hAnsi="宋体" w:eastAsia="宋体" w:cs="宋体"/>
          <w:color w:val="000000"/>
          <w:sz w:val="24"/>
          <w:szCs w:val="24"/>
        </w:rPr>
        <w:t>反映机关事业单位实施养老保险制度由单位缴纳的基本养老保险费支出。</w:t>
      </w:r>
    </w:p>
    <w:p w14:paraId="6E453FD9">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32.社会保障和就业支出（类）行政事业单位养老支出（款）机关事业单位职业年金缴费支出（项）:</w:t>
      </w:r>
      <w:r>
        <w:rPr>
          <w:rFonts w:hint="eastAsia" w:ascii="宋体" w:hAnsi="宋体" w:eastAsia="宋体" w:cs="宋体"/>
          <w:color w:val="000000"/>
          <w:sz w:val="24"/>
          <w:szCs w:val="24"/>
        </w:rPr>
        <w:t>反映机关事业单位实施养老保险制度由单位实际缴纳的职业年金支出。</w:t>
      </w:r>
    </w:p>
    <w:p w14:paraId="31F20086">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33.社会保障和就业支出（类）抚恤（款）:</w:t>
      </w:r>
      <w:r>
        <w:rPr>
          <w:rFonts w:hint="eastAsia" w:ascii="宋体" w:hAnsi="宋体" w:eastAsia="宋体" w:cs="宋体"/>
          <w:color w:val="000000"/>
          <w:sz w:val="24"/>
          <w:szCs w:val="24"/>
        </w:rPr>
        <w:t>反映用于各类优抚对象和优抚事业单位的支出。</w:t>
      </w:r>
    </w:p>
    <w:p w14:paraId="43A49DCD">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34.社会保障和就业支出（类）抚恤（款）死亡抚恤（项）:</w:t>
      </w:r>
      <w:r>
        <w:rPr>
          <w:rFonts w:hint="eastAsia" w:ascii="宋体" w:hAnsi="宋体" w:eastAsia="宋体" w:cs="宋体"/>
          <w:color w:val="000000"/>
          <w:sz w:val="24"/>
          <w:szCs w:val="24"/>
        </w:rPr>
        <w:t>反映按规定用于烈士和牺牲、病故人员家属的一次性和定期抚恤金以及丧葬补助费。</w:t>
      </w:r>
    </w:p>
    <w:p w14:paraId="319B3CB1">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35.社会保障和就业支出（类）其他社会保障和就业支出（款）:</w:t>
      </w:r>
      <w:r>
        <w:rPr>
          <w:rFonts w:hint="eastAsia" w:ascii="宋体" w:hAnsi="宋体" w:eastAsia="宋体" w:cs="宋体"/>
          <w:color w:val="000000"/>
          <w:sz w:val="24"/>
          <w:szCs w:val="24"/>
        </w:rPr>
        <w:t>反映除上述项目以外其他用于社会保障和就业方面的支出。</w:t>
      </w:r>
    </w:p>
    <w:p w14:paraId="5B48E728">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36.社会保障和就业支出（类）其他社会保障和就业支出（款）其他社会保障和就业支出（项）:</w:t>
      </w:r>
      <w:r>
        <w:rPr>
          <w:rFonts w:hint="eastAsia" w:ascii="宋体" w:hAnsi="宋体" w:eastAsia="宋体" w:cs="宋体"/>
          <w:color w:val="000000"/>
          <w:sz w:val="24"/>
          <w:szCs w:val="24"/>
        </w:rPr>
        <w:t>反映除上述项目以外其他用于社会保障和就业方面的支出。</w:t>
      </w:r>
    </w:p>
    <w:p w14:paraId="5281B96C">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37.卫生健康支出（类）:</w:t>
      </w:r>
      <w:r>
        <w:rPr>
          <w:rFonts w:hint="eastAsia" w:ascii="宋体" w:hAnsi="宋体" w:eastAsia="宋体" w:cs="宋体"/>
          <w:color w:val="000000"/>
          <w:sz w:val="24"/>
          <w:szCs w:val="24"/>
        </w:rPr>
        <w:t>反映政府卫生健康方面的支出</w:t>
      </w:r>
    </w:p>
    <w:p w14:paraId="5E7BC94E">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38.卫生健康支出（类）行政事业单位医疗（款）:</w:t>
      </w:r>
      <w:r>
        <w:rPr>
          <w:rFonts w:hint="eastAsia" w:ascii="宋体" w:hAnsi="宋体" w:eastAsia="宋体" w:cs="宋体"/>
          <w:color w:val="000000"/>
          <w:sz w:val="24"/>
          <w:szCs w:val="24"/>
        </w:rPr>
        <w:t>反映行政事业单位医疗方面的支出。</w:t>
      </w:r>
    </w:p>
    <w:p w14:paraId="7987600D">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39.卫生健康支出（类）行政事业单位医疗（款）行政单位医疗（项）:</w:t>
      </w:r>
      <w:r>
        <w:rPr>
          <w:rFonts w:hint="eastAsia" w:ascii="宋体" w:hAnsi="宋体" w:eastAsia="宋体" w:cs="宋体"/>
          <w:color w:val="000000"/>
          <w:sz w:val="24"/>
          <w:szCs w:val="24"/>
        </w:rPr>
        <w:t>反映财政部门安排的行政单位（包括实行公务员管理的事业单位，下同）基本医疗保险缴费经费，未参加医疗保险的行政单位的公费医疗经费，按国家规定享受离休人员、红军老战士待遇人员的医疗经费。</w:t>
      </w:r>
    </w:p>
    <w:p w14:paraId="73E87DAC">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40.卫生健康支出（类）行政事业单位医疗（款）事业单位医疗（项）:</w:t>
      </w:r>
      <w:r>
        <w:rPr>
          <w:rFonts w:hint="eastAsia" w:ascii="宋体" w:hAnsi="宋体" w:eastAsia="宋体" w:cs="宋体"/>
          <w:color w:val="000000"/>
          <w:sz w:val="24"/>
          <w:szCs w:val="24"/>
        </w:rPr>
        <w:t>反映财政部门安排的事业单位基本医疗保险缴费经费，未参加医疗保险的事业单位的公费医疗经费，按国家规定享受离休人员待遇的医疗经费。</w:t>
      </w:r>
    </w:p>
    <w:p w14:paraId="455F5E1E">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41.卫生健康支出（类）行政事业单位医疗（款）公务员医疗补助（项）:</w:t>
      </w:r>
      <w:r>
        <w:rPr>
          <w:rFonts w:hint="eastAsia" w:ascii="宋体" w:hAnsi="宋体" w:eastAsia="宋体" w:cs="宋体"/>
          <w:color w:val="000000"/>
          <w:sz w:val="24"/>
          <w:szCs w:val="24"/>
        </w:rPr>
        <w:t>反映财政部门安排的公务员医疗补助经费。</w:t>
      </w:r>
    </w:p>
    <w:p w14:paraId="4BD3507E">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42.节能环保支出（类）:</w:t>
      </w:r>
      <w:r>
        <w:rPr>
          <w:rFonts w:hint="eastAsia" w:ascii="宋体" w:hAnsi="宋体" w:eastAsia="宋体" w:cs="宋体"/>
          <w:color w:val="000000"/>
          <w:sz w:val="24"/>
          <w:szCs w:val="24"/>
        </w:rPr>
        <w:t>反映政府节能环保支出。</w:t>
      </w:r>
    </w:p>
    <w:p w14:paraId="5F400152">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43.节能环保支出（类）自然生态保护（款）:</w:t>
      </w:r>
      <w:r>
        <w:rPr>
          <w:rFonts w:hint="eastAsia" w:ascii="宋体" w:hAnsi="宋体" w:eastAsia="宋体" w:cs="宋体"/>
          <w:color w:val="000000"/>
          <w:sz w:val="24"/>
          <w:szCs w:val="24"/>
        </w:rPr>
        <w:t>反映生态保护、生态修复、生物多样性保护、农村环境保护和生物安全管理等方面的支出。</w:t>
      </w:r>
    </w:p>
    <w:p w14:paraId="4222C3FA">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44.节能环保支出（类）自然生态保护（款）生态保护（项）:</w:t>
      </w:r>
      <w:r>
        <w:rPr>
          <w:rFonts w:hint="eastAsia" w:ascii="宋体" w:hAnsi="宋体" w:eastAsia="宋体" w:cs="宋体"/>
          <w:color w:val="000000"/>
          <w:sz w:val="24"/>
          <w:szCs w:val="24"/>
        </w:rPr>
        <w:t>反映用于生态功能保护区、生态示范区、生态省（市、县）管理及能力建设、日常管护、宣教、试点示范等支出，生态修复支出，资源开发生态监管等支出。</w:t>
      </w:r>
    </w:p>
    <w:p w14:paraId="4D013849">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45.节能环保支出（类）自然生态保护（款）生物及物种资源保护（项）:</w:t>
      </w:r>
      <w:r>
        <w:rPr>
          <w:rFonts w:hint="eastAsia" w:ascii="宋体" w:hAnsi="宋体" w:eastAsia="宋体" w:cs="宋体"/>
          <w:color w:val="000000"/>
          <w:sz w:val="24"/>
          <w:szCs w:val="24"/>
        </w:rPr>
        <w:t>反映用于生物多样性、生物安全、生物遗传资源管理及保护、外来入侵物种防治、微生物环境安全监管等支出。</w:t>
      </w:r>
    </w:p>
    <w:p w14:paraId="02B450D7">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46.节能环保支出（类）自然生态保护（款）草原生态修复治理（项）:</w:t>
      </w:r>
      <w:r>
        <w:rPr>
          <w:rFonts w:hint="eastAsia" w:ascii="宋体" w:hAnsi="宋体" w:eastAsia="宋体" w:cs="宋体"/>
          <w:color w:val="000000"/>
          <w:sz w:val="24"/>
          <w:szCs w:val="24"/>
        </w:rPr>
        <w:t>反映用于退化草原生态修复治理、草种繁育、草原边境防火隔离带建设、草原有害生物防治等方面的支出。</w:t>
      </w:r>
    </w:p>
    <w:p w14:paraId="1BBC6F61">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47.节能环保支出（类）自然生态保护（款）自然保护地（项）:</w:t>
      </w:r>
      <w:r>
        <w:rPr>
          <w:rFonts w:hint="eastAsia" w:ascii="宋体" w:hAnsi="宋体" w:eastAsia="宋体" w:cs="宋体"/>
          <w:color w:val="000000"/>
          <w:sz w:val="24"/>
          <w:szCs w:val="24"/>
        </w:rPr>
        <w:t>反映用于国家公园、自然保护区、自然公园勘界、建设、调查、规划、监测、管护、生态保护补偿与修复、野生动植物保护、科研、保护设施设备运行维护、宣传及管理等方面的支出。</w:t>
      </w:r>
    </w:p>
    <w:p w14:paraId="325843AB">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48.节能环保支出（类）自然生态保护（款）其他自然生态保护支出（项）:</w:t>
      </w:r>
      <w:r>
        <w:rPr>
          <w:rFonts w:hint="eastAsia" w:ascii="宋体" w:hAnsi="宋体" w:eastAsia="宋体" w:cs="宋体"/>
          <w:color w:val="000000"/>
          <w:sz w:val="24"/>
          <w:szCs w:val="24"/>
        </w:rPr>
        <w:t>反映除上述项目以外其他用于自然生态保护方面的支出。</w:t>
      </w:r>
    </w:p>
    <w:p w14:paraId="6E0601F5">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49.节能环保支出（类）森林保护修复（款）:</w:t>
      </w:r>
      <w:r>
        <w:rPr>
          <w:rFonts w:hint="eastAsia" w:ascii="宋体" w:hAnsi="宋体" w:eastAsia="宋体" w:cs="宋体"/>
          <w:color w:val="000000"/>
          <w:sz w:val="24"/>
          <w:szCs w:val="24"/>
        </w:rPr>
        <w:t>反映专项用于天然林资源保护工程的各项补助支出。</w:t>
      </w:r>
    </w:p>
    <w:p w14:paraId="046151A8">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50.节能环保支出（类）森林保护修复（款）森林管护（项）:</w:t>
      </w:r>
      <w:r>
        <w:rPr>
          <w:rFonts w:hint="eastAsia" w:ascii="宋体" w:hAnsi="宋体" w:eastAsia="宋体" w:cs="宋体"/>
          <w:color w:val="000000"/>
          <w:sz w:val="24"/>
          <w:szCs w:val="24"/>
        </w:rPr>
        <w:t>反映专项用于森林资源管护所发生的各项补助支出。</w:t>
      </w:r>
    </w:p>
    <w:p w14:paraId="64059F97">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51.节能环保支出（类）森林保护修复（款）社会保险补助（项）:</w:t>
      </w:r>
      <w:r>
        <w:rPr>
          <w:rFonts w:hint="eastAsia" w:ascii="宋体" w:hAnsi="宋体" w:eastAsia="宋体" w:cs="宋体"/>
          <w:color w:val="000000"/>
          <w:sz w:val="24"/>
          <w:szCs w:val="24"/>
        </w:rPr>
        <w:t>反映专项用于由于木材减产或停产造成实施单位应缴纳社会保险费缺口的补助支出。</w:t>
      </w:r>
    </w:p>
    <w:p w14:paraId="5BCBE80B">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52.节能环保支出（类）森林保护修复（款）政策性社会性支出补助（项）:</w:t>
      </w:r>
      <w:r>
        <w:rPr>
          <w:rFonts w:hint="eastAsia" w:ascii="宋体" w:hAnsi="宋体" w:eastAsia="宋体" w:cs="宋体"/>
          <w:color w:val="000000"/>
          <w:sz w:val="24"/>
          <w:szCs w:val="24"/>
        </w:rPr>
        <w:t>反映专项用于实施单位承担的政策性社会性支出补助。</w:t>
      </w:r>
    </w:p>
    <w:p w14:paraId="2D990341">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53.节能环保支出（类）森林保护修复（款）天然林保护工程建设（项）:</w:t>
      </w:r>
      <w:r>
        <w:rPr>
          <w:rFonts w:hint="eastAsia" w:ascii="宋体" w:hAnsi="宋体" w:eastAsia="宋体" w:cs="宋体"/>
          <w:color w:val="000000"/>
          <w:sz w:val="24"/>
          <w:szCs w:val="24"/>
        </w:rPr>
        <w:t>反映天然林保护工程建设支出。</w:t>
      </w:r>
    </w:p>
    <w:p w14:paraId="057AFC91">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54.节能环保支出（类）森林保护修复（款）其他森林保护修复支出（项）:</w:t>
      </w:r>
      <w:r>
        <w:rPr>
          <w:rFonts w:hint="eastAsia" w:ascii="宋体" w:hAnsi="宋体" w:eastAsia="宋体" w:cs="宋体"/>
          <w:color w:val="000000"/>
          <w:sz w:val="24"/>
          <w:szCs w:val="24"/>
        </w:rPr>
        <w:t>反映除上述项目以外其他用于天然林保护方面的支出。</w:t>
      </w:r>
    </w:p>
    <w:p w14:paraId="1A08A508">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55.农林水支出（类）:</w:t>
      </w:r>
      <w:r>
        <w:rPr>
          <w:rFonts w:hint="eastAsia" w:ascii="宋体" w:hAnsi="宋体" w:eastAsia="宋体" w:cs="宋体"/>
          <w:color w:val="000000"/>
          <w:sz w:val="24"/>
          <w:szCs w:val="24"/>
        </w:rPr>
        <w:t>反映政府农林水事务支出。</w:t>
      </w:r>
    </w:p>
    <w:p w14:paraId="496078CC">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56.农林水支出（类）农业农村（款）:</w:t>
      </w:r>
      <w:r>
        <w:rPr>
          <w:rFonts w:hint="eastAsia" w:ascii="宋体" w:hAnsi="宋体" w:eastAsia="宋体" w:cs="宋体"/>
          <w:color w:val="000000"/>
          <w:sz w:val="24"/>
          <w:szCs w:val="24"/>
        </w:rPr>
        <w:t>反映种植业、畜牧业、渔业、种业、兽医、农机、农垦、农场、农村产业、农村社会事业等方面的支出。</w:t>
      </w:r>
    </w:p>
    <w:p w14:paraId="659DA834">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57.农林水支出（类）农业农村（款）事业运行（项）:</w:t>
      </w:r>
      <w:r>
        <w:rPr>
          <w:rFonts w:hint="eastAsia" w:ascii="宋体" w:hAnsi="宋体" w:eastAsia="宋体" w:cs="宋体"/>
          <w:color w:val="000000"/>
          <w:sz w:val="24"/>
          <w:szCs w:val="24"/>
        </w:rPr>
        <w:t>反映甘肃省林业和草原局的基本支出，不包括行政单位（包括实行公务员管理的事业单位）后勤服务中心、医务室等附属事业单位。</w:t>
      </w:r>
    </w:p>
    <w:p w14:paraId="38145086">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58.农林水支出（类）农业农村（款）统计监测与信息服务（项）:</w:t>
      </w:r>
      <w:r>
        <w:rPr>
          <w:rFonts w:hint="eastAsia" w:ascii="宋体" w:hAnsi="宋体" w:eastAsia="宋体" w:cs="宋体"/>
          <w:color w:val="000000"/>
          <w:sz w:val="24"/>
          <w:szCs w:val="24"/>
        </w:rPr>
        <w:t>反映用于农业统计调查与信息收集、整理、分析、发布，以及农业自然资源调查和农业区划等方面的支出。</w:t>
      </w:r>
    </w:p>
    <w:p w14:paraId="1D61EBFE">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59.农林水支出（类）林业和草原（款）:</w:t>
      </w:r>
      <w:r>
        <w:rPr>
          <w:rFonts w:hint="eastAsia" w:ascii="宋体" w:hAnsi="宋体" w:eastAsia="宋体" w:cs="宋体"/>
          <w:color w:val="000000"/>
          <w:sz w:val="24"/>
          <w:szCs w:val="24"/>
        </w:rPr>
        <w:t>反映政府用于林业和草原方面的支出。</w:t>
      </w:r>
    </w:p>
    <w:p w14:paraId="1ACDE380">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60.农林水支出（类）林业和草原（款）行政运行（项）:</w:t>
      </w:r>
      <w:r>
        <w:rPr>
          <w:rFonts w:hint="eastAsia" w:ascii="宋体" w:hAnsi="宋体" w:eastAsia="宋体" w:cs="宋体"/>
          <w:color w:val="000000"/>
          <w:sz w:val="24"/>
          <w:szCs w:val="24"/>
        </w:rPr>
        <w:t>反映甘肃省林业和草原局的基本支出。</w:t>
      </w:r>
    </w:p>
    <w:p w14:paraId="533DB06F">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61.农林水支出（类）林业和草原（款）事业机构（项）:</w:t>
      </w:r>
      <w:r>
        <w:rPr>
          <w:rFonts w:hint="eastAsia" w:ascii="宋体" w:hAnsi="宋体" w:eastAsia="宋体" w:cs="宋体"/>
          <w:color w:val="000000"/>
          <w:sz w:val="24"/>
          <w:szCs w:val="24"/>
        </w:rPr>
        <w:t>反映事业单位的基本支出，不包括行政单位（含实行公务员管理的事业单位）后勤服务中心等附属事业单位的支出。</w:t>
      </w:r>
    </w:p>
    <w:p w14:paraId="221CC3A0">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62.农林水支出（类）林业和草原（款）森林资源培育（项）:</w:t>
      </w:r>
      <w:r>
        <w:rPr>
          <w:rFonts w:hint="eastAsia" w:ascii="宋体" w:hAnsi="宋体" w:eastAsia="宋体" w:cs="宋体"/>
          <w:color w:val="000000"/>
          <w:sz w:val="24"/>
          <w:szCs w:val="24"/>
        </w:rPr>
        <w:t>反映育苗（种）、造林、抚育、退化林修复、义务植树以及生物质能源建设等方面的支出。</w:t>
      </w:r>
    </w:p>
    <w:p w14:paraId="57A7C8E8">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63.农林水支出（类）林业和草原（款）技术推广与转化（项）:</w:t>
      </w:r>
      <w:r>
        <w:rPr>
          <w:rFonts w:hint="eastAsia" w:ascii="宋体" w:hAnsi="宋体" w:eastAsia="宋体" w:cs="宋体"/>
          <w:color w:val="000000"/>
          <w:sz w:val="24"/>
          <w:szCs w:val="24"/>
        </w:rPr>
        <w:t>反映良种繁育、新技术引进、区域化试验、示范、技术推、成果转化、科学普及等方面的支出。</w:t>
      </w:r>
    </w:p>
    <w:p w14:paraId="3A62FC47">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64.农林水支出（类）林业和草原（款）森林资源管理（项）:</w:t>
      </w:r>
      <w:r>
        <w:rPr>
          <w:rFonts w:hint="eastAsia" w:ascii="宋体" w:hAnsi="宋体" w:eastAsia="宋体" w:cs="宋体"/>
          <w:color w:val="000000"/>
          <w:sz w:val="24"/>
          <w:szCs w:val="24"/>
        </w:rPr>
        <w:t>反映森林经营、利用、森林资源资产、林地保护及权属调处等森林资源管理方面的支出。</w:t>
      </w:r>
    </w:p>
    <w:p w14:paraId="2E368DE1">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65.农林水支出（类）林业和草原（款）森林生态效益补偿（项）:</w:t>
      </w:r>
      <w:r>
        <w:rPr>
          <w:rFonts w:hint="eastAsia" w:ascii="宋体" w:hAnsi="宋体" w:eastAsia="宋体" w:cs="宋体"/>
          <w:color w:val="000000"/>
          <w:sz w:val="24"/>
          <w:szCs w:val="24"/>
        </w:rPr>
        <w:t>反映由森林生态效益补偿基金安排用于公益林营造、抚育、管理和保护等方面的支出。</w:t>
      </w:r>
    </w:p>
    <w:p w14:paraId="1ACB4C33">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66.农林水支出（类）林业和草原（款）动植物保护（项）:</w:t>
      </w:r>
      <w:r>
        <w:rPr>
          <w:rFonts w:hint="eastAsia" w:ascii="宋体" w:hAnsi="宋体" w:eastAsia="宋体" w:cs="宋体"/>
          <w:color w:val="000000"/>
          <w:sz w:val="24"/>
          <w:szCs w:val="24"/>
        </w:rPr>
        <w:t>反映动植物资源及其生存环境调查、监测，动植物资源保护管理、野外放归、巡护，濒危野生动物拯救、繁育，野生动物疫源疫病监测防控等方面的支出。</w:t>
      </w:r>
    </w:p>
    <w:p w14:paraId="69069CDF">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67.农林水支出（类）林业和草原（款）湿地保护（项）:</w:t>
      </w:r>
      <w:r>
        <w:rPr>
          <w:rFonts w:hint="eastAsia" w:ascii="宋体" w:hAnsi="宋体" w:eastAsia="宋体" w:cs="宋体"/>
          <w:color w:val="000000"/>
          <w:sz w:val="24"/>
          <w:szCs w:val="24"/>
        </w:rPr>
        <w:t>反映天然湿地保护和管理方面的支出。</w:t>
      </w:r>
    </w:p>
    <w:p w14:paraId="2B7CCD5A">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68.农林水支出（类）林业和草原（款）执法与监督（项）:</w:t>
      </w:r>
      <w:r>
        <w:rPr>
          <w:rFonts w:hint="eastAsia" w:ascii="宋体" w:hAnsi="宋体" w:eastAsia="宋体" w:cs="宋体"/>
          <w:color w:val="000000"/>
          <w:sz w:val="24"/>
          <w:szCs w:val="24"/>
        </w:rPr>
        <w:t>反映执法与监督队伍建设，刑事、行政案件受理、查处和督办，行政许可、复议与诉讼管理等方面的支出。</w:t>
      </w:r>
    </w:p>
    <w:p w14:paraId="14597D36">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69.农林水支出（类）林业和草原（款）防沙治沙（项）:</w:t>
      </w:r>
      <w:r>
        <w:rPr>
          <w:rFonts w:hint="eastAsia" w:ascii="宋体" w:hAnsi="宋体" w:eastAsia="宋体" w:cs="宋体"/>
          <w:color w:val="000000"/>
          <w:sz w:val="24"/>
          <w:szCs w:val="24"/>
        </w:rPr>
        <w:t>反映沙漠化防治、沙漠普查、监测等方面的支出。</w:t>
      </w:r>
    </w:p>
    <w:p w14:paraId="4D780434">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70.农林水支出（类）林业和草原（款）产业化管理（项）:</w:t>
      </w:r>
      <w:r>
        <w:rPr>
          <w:rFonts w:hint="eastAsia" w:ascii="宋体" w:hAnsi="宋体" w:eastAsia="宋体" w:cs="宋体"/>
          <w:color w:val="000000"/>
          <w:sz w:val="24"/>
          <w:szCs w:val="24"/>
        </w:rPr>
        <w:t>反映产业化管理方面的支出。</w:t>
      </w:r>
    </w:p>
    <w:p w14:paraId="1DD8FA3A">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71.农林水支出（类）林业和草原（款）信息管理（项）:</w:t>
      </w:r>
      <w:r>
        <w:rPr>
          <w:rFonts w:hint="eastAsia" w:ascii="宋体" w:hAnsi="宋体" w:eastAsia="宋体" w:cs="宋体"/>
          <w:color w:val="000000"/>
          <w:sz w:val="24"/>
          <w:szCs w:val="24"/>
        </w:rPr>
        <w:t>反映信息化建设、运行维护及管理方面的支出。</w:t>
      </w:r>
    </w:p>
    <w:p w14:paraId="450F5A3D">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72.农林水支出（类）林业和草原（款）林区公共支出（项）:</w:t>
      </w:r>
      <w:r>
        <w:rPr>
          <w:rFonts w:hint="eastAsia" w:ascii="宋体" w:hAnsi="宋体" w:eastAsia="宋体" w:cs="宋体"/>
          <w:color w:val="000000"/>
          <w:sz w:val="24"/>
          <w:szCs w:val="24"/>
        </w:rPr>
        <w:t>反映林区公共支出。</w:t>
      </w:r>
    </w:p>
    <w:p w14:paraId="6F55E373">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73.农林水支出（类）林业和草原（款）林业草原防灾减灾（项）:</w:t>
      </w:r>
      <w:r>
        <w:rPr>
          <w:rFonts w:hint="eastAsia" w:ascii="宋体" w:hAnsi="宋体" w:eastAsia="宋体" w:cs="宋体"/>
          <w:color w:val="000000"/>
          <w:sz w:val="24"/>
          <w:szCs w:val="24"/>
        </w:rPr>
        <w:t>反映用于病虫害等有害生物灾害、森林草原防火、野生动物疫病灾害等方面的支出。</w:t>
      </w:r>
    </w:p>
    <w:p w14:paraId="265B92D7">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74.农林水支出（类）林业和草原（款）草原管理（项）:</w:t>
      </w:r>
      <w:r>
        <w:rPr>
          <w:rFonts w:hint="eastAsia" w:ascii="宋体" w:hAnsi="宋体" w:eastAsia="宋体" w:cs="宋体"/>
          <w:color w:val="000000"/>
          <w:sz w:val="24"/>
          <w:szCs w:val="24"/>
        </w:rPr>
        <w:t>反映草原草场调查、规划、监测、管护等方面的支出。</w:t>
      </w:r>
    </w:p>
    <w:p w14:paraId="7120D69A">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75.农林水支出（类）林业和草原（款）行业业务管理（项）:</w:t>
      </w:r>
      <w:r>
        <w:rPr>
          <w:rFonts w:hint="eastAsia" w:ascii="宋体" w:hAnsi="宋体" w:eastAsia="宋体" w:cs="宋体"/>
          <w:color w:val="000000"/>
          <w:sz w:val="24"/>
          <w:szCs w:val="24"/>
        </w:rPr>
        <w:t>反映行业标准、政策法规、规划规程制定，生态工程及项目的可研、评审评估、绩效评价、检查验收，资金资产监督管理，统计调查与数据分析发布，检疫检测，森林认证，林产品质量监管，新品种及知识产权保护，生物安全与遗传资源管理，重大宣传，人才发展等方面的支出。</w:t>
      </w:r>
    </w:p>
    <w:p w14:paraId="7939108C">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76.农林水支出（类）林业和草原（款）其他林业和草原支出（项）:</w:t>
      </w:r>
      <w:r>
        <w:rPr>
          <w:rFonts w:hint="eastAsia" w:ascii="宋体" w:hAnsi="宋体" w:eastAsia="宋体" w:cs="宋体"/>
          <w:color w:val="000000"/>
          <w:sz w:val="24"/>
          <w:szCs w:val="24"/>
        </w:rPr>
        <w:t>反映除上述项目以外其他用于林业和草原方面的支出。</w:t>
      </w:r>
    </w:p>
    <w:p w14:paraId="2349CEF8">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77.农林水支出（类）巩固脱贫攻坚成果衔接乡村振兴（款）:</w:t>
      </w:r>
      <w:r>
        <w:rPr>
          <w:rFonts w:hint="eastAsia" w:ascii="宋体" w:hAnsi="宋体" w:eastAsia="宋体" w:cs="宋体"/>
          <w:color w:val="000000"/>
          <w:sz w:val="24"/>
          <w:szCs w:val="24"/>
        </w:rPr>
        <w:t>反映用于农村（包括国有农场、国有林场）巩固脱贫攻坚成果衔接乡村振兴等方面的支出。</w:t>
      </w:r>
    </w:p>
    <w:p w14:paraId="66FC6B09">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78.农林水支出（类）巩固脱贫攻坚成果衔接乡村振兴（款）农村基础设施建设（项）:</w:t>
      </w:r>
      <w:r>
        <w:rPr>
          <w:rFonts w:hint="eastAsia" w:ascii="宋体" w:hAnsi="宋体" w:eastAsia="宋体" w:cs="宋体"/>
          <w:color w:val="000000"/>
          <w:sz w:val="24"/>
          <w:szCs w:val="24"/>
        </w:rPr>
        <w:t>反映用于农村贫困地区乡村道路、住房、基本农田、水利设施、人畜饮水、生态环境保护等生产生活条件改善方面的支出。</w:t>
      </w:r>
    </w:p>
    <w:p w14:paraId="6D055A16">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79.农林水支出（类）巩固脱贫攻坚成果衔接乡村振兴（款）其他巩固脱贫攻坚成果衔接乡村振兴支出（项）:</w:t>
      </w:r>
      <w:r>
        <w:rPr>
          <w:rFonts w:hint="eastAsia" w:ascii="宋体" w:hAnsi="宋体" w:eastAsia="宋体" w:cs="宋体"/>
          <w:color w:val="000000"/>
          <w:sz w:val="24"/>
          <w:szCs w:val="24"/>
        </w:rPr>
        <w:t>反映除上述项目以外其他用于巩固拓展脱贫攻坚成果同乡村振兴有效衔接方面的支出。</w:t>
      </w:r>
    </w:p>
    <w:p w14:paraId="5AF4A088">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80.农林水支出（类）普惠金融发展支出（款）:</w:t>
      </w:r>
      <w:r>
        <w:rPr>
          <w:rFonts w:hint="eastAsia" w:ascii="宋体" w:hAnsi="宋体" w:eastAsia="宋体" w:cs="宋体"/>
          <w:color w:val="000000"/>
          <w:sz w:val="24"/>
          <w:szCs w:val="24"/>
        </w:rPr>
        <w:t>反映各级财政部门用于普惠金融发展的支出。</w:t>
      </w:r>
    </w:p>
    <w:p w14:paraId="2CB6A739">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81.农林水支出（类）普惠金融发展支出（款）农业保险保费补贴（项）:</w:t>
      </w:r>
      <w:r>
        <w:rPr>
          <w:rFonts w:hint="eastAsia" w:ascii="宋体" w:hAnsi="宋体" w:eastAsia="宋体" w:cs="宋体"/>
          <w:color w:val="000000"/>
          <w:sz w:val="24"/>
          <w:szCs w:val="24"/>
        </w:rPr>
        <w:t>反映对农民或农业生产经营组织投保农业保险给予的补贴。</w:t>
      </w:r>
    </w:p>
    <w:p w14:paraId="32518626">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82.农林水支出（类）其他农林水支出（款）:</w:t>
      </w:r>
      <w:r>
        <w:rPr>
          <w:rFonts w:hint="eastAsia" w:ascii="宋体" w:hAnsi="宋体" w:eastAsia="宋体" w:cs="宋体"/>
          <w:color w:val="000000"/>
          <w:sz w:val="24"/>
          <w:szCs w:val="24"/>
        </w:rPr>
        <w:t>反映除上述项目以外其他用于农林水方面的支出。</w:t>
      </w:r>
    </w:p>
    <w:p w14:paraId="02F6473F">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83.农林水支出（类）其他农林水支出（款）其他农林水支出（项）:</w:t>
      </w:r>
      <w:r>
        <w:rPr>
          <w:rFonts w:hint="eastAsia" w:ascii="宋体" w:hAnsi="宋体" w:eastAsia="宋体" w:cs="宋体"/>
          <w:color w:val="000000"/>
          <w:sz w:val="24"/>
          <w:szCs w:val="24"/>
        </w:rPr>
        <w:t>反映除化解债务支出以外其他用于农林水方面的支出。</w:t>
      </w:r>
    </w:p>
    <w:p w14:paraId="3DE21555">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84.住房保障支出（类）:</w:t>
      </w:r>
      <w:r>
        <w:rPr>
          <w:rFonts w:hint="eastAsia" w:ascii="宋体" w:hAnsi="宋体" w:eastAsia="宋体" w:cs="宋体"/>
          <w:color w:val="000000"/>
          <w:sz w:val="24"/>
          <w:szCs w:val="24"/>
        </w:rPr>
        <w:t>集中反映政府用于住房方面的支出。</w:t>
      </w:r>
    </w:p>
    <w:p w14:paraId="3F3F62C1">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85.住房保障支出（类）住房改革支出（款）:</w:t>
      </w:r>
      <w:r>
        <w:rPr>
          <w:rFonts w:hint="eastAsia" w:ascii="宋体" w:hAnsi="宋体" w:eastAsia="宋体" w:cs="宋体"/>
          <w:color w:val="000000"/>
          <w:sz w:val="24"/>
          <w:szCs w:val="24"/>
        </w:rPr>
        <w:t>反映行政事业单位用财政拨款资金和其他资金等安排的住房改革支出。</w:t>
      </w:r>
    </w:p>
    <w:p w14:paraId="43C766F6">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86.住房保障支出（类）住房改革支出（款）住房公积金（项）:</w:t>
      </w:r>
      <w:r>
        <w:rPr>
          <w:rFonts w:hint="eastAsia" w:ascii="宋体" w:hAnsi="宋体" w:eastAsia="宋体" w:cs="宋体"/>
          <w:color w:val="000000"/>
          <w:sz w:val="24"/>
          <w:szCs w:val="24"/>
        </w:rPr>
        <w:t>反映行政事业单位按人事部和财政部规定的基本工资和津贴补贴以及规定比例为职工缴纳的住房公积金。</w:t>
      </w:r>
    </w:p>
    <w:p w14:paraId="4E46ABAC">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87.灾害防治及应急管理支出（类）:</w:t>
      </w:r>
      <w:r>
        <w:rPr>
          <w:rFonts w:hint="eastAsia" w:ascii="宋体" w:hAnsi="宋体" w:eastAsia="宋体" w:cs="宋体"/>
          <w:color w:val="000000"/>
          <w:sz w:val="24"/>
          <w:szCs w:val="24"/>
        </w:rPr>
        <w:t>反映政府用于自然灾害防治、安全生产监管及应急管理等方面的支出。</w:t>
      </w:r>
    </w:p>
    <w:p w14:paraId="7BDB7906">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88.灾害防治及应急管理支出（类）自然灾害防治（款）森林草原防灾减灾（项）:</w:t>
      </w:r>
      <w:r>
        <w:rPr>
          <w:rFonts w:hint="eastAsia" w:ascii="宋体" w:hAnsi="宋体" w:eastAsia="宋体" w:cs="宋体"/>
          <w:color w:val="000000"/>
          <w:sz w:val="24"/>
          <w:szCs w:val="24"/>
        </w:rPr>
        <w:t>反映防治森林草原火灾、自然水旱灾害等发生的支出。</w:t>
      </w:r>
    </w:p>
    <w:p w14:paraId="5049A1A2">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89.灾害防治及应急管理支出（类）自然灾害防治（款）其他自然灾害防治支出（项）:</w:t>
      </w:r>
      <w:r>
        <w:rPr>
          <w:rFonts w:hint="eastAsia" w:ascii="宋体" w:hAnsi="宋体" w:eastAsia="宋体" w:cs="宋体"/>
          <w:color w:val="000000"/>
          <w:sz w:val="24"/>
          <w:szCs w:val="24"/>
        </w:rPr>
        <w:t>反映除上述项目以外其他用于自然灾害防治的支出。</w:t>
      </w:r>
    </w:p>
    <w:p w14:paraId="25941E3C">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90.工资福利支出（类）:</w:t>
      </w:r>
      <w:r>
        <w:rPr>
          <w:rFonts w:hint="eastAsia" w:ascii="宋体" w:hAnsi="宋体" w:eastAsia="宋体" w:cs="宋体"/>
          <w:color w:val="000000"/>
          <w:sz w:val="24"/>
          <w:szCs w:val="24"/>
        </w:rPr>
        <w:t>反映单位开支的在职职工和编制外长期聘用人员的各类劳动报酬，以及为上述人员缴纳的各项社会保险费等。</w:t>
      </w:r>
    </w:p>
    <w:p w14:paraId="7C0297ED">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91.工资福利支出（类）基本工资（款）:</w:t>
      </w:r>
      <w:r>
        <w:rPr>
          <w:rFonts w:hint="eastAsia" w:ascii="宋体" w:hAnsi="宋体" w:eastAsia="宋体" w:cs="宋体"/>
          <w:color w:val="000000"/>
          <w:sz w:val="24"/>
          <w:szCs w:val="24"/>
        </w:rPr>
        <w:t>反映按规定发放的基本工资，包括公务员的职务工资、级别工资；机关工人的岗位工资、技术等级工资；事业单位工作人员的岗位工资、薪级工资；各类学校毕业生试用期（见习期）工资、新参加工作工人学徒期、熟练期工资；军队（含武警）军官、文职干部的职务（专业技术等级）工资、军衔（级别）工资和军龄工资；军队士官的军衔等级工资和军龄工资等。</w:t>
      </w:r>
    </w:p>
    <w:p w14:paraId="006281F6">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92.工资福利支出（类）津贴补贴（款）:</w:t>
      </w:r>
      <w:r>
        <w:rPr>
          <w:rFonts w:hint="eastAsia" w:ascii="宋体" w:hAnsi="宋体" w:eastAsia="宋体" w:cs="宋体"/>
          <w:color w:val="000000"/>
          <w:sz w:val="24"/>
          <w:szCs w:val="24"/>
        </w:rPr>
        <w:t>反映按规定发放的津贴、补贴，包括机关工作人员工作性津贴、生活性补贴、地区附加津贴、岗位津贴，机关事业单位艰苦边远地区津贴，事业单位工作人员特殊岗位津贴补贴，机关事业单位提租补贴、购房补贴、采暖补贴、物业服务补贴等。</w:t>
      </w:r>
    </w:p>
    <w:p w14:paraId="742FCE3F">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93.工资福利支出（类）奖金（款）:</w:t>
      </w:r>
      <w:r>
        <w:rPr>
          <w:rFonts w:hint="eastAsia" w:ascii="宋体" w:hAnsi="宋体" w:eastAsia="宋体" w:cs="宋体"/>
          <w:color w:val="000000"/>
          <w:sz w:val="24"/>
          <w:szCs w:val="24"/>
        </w:rPr>
        <w:t>反映按照规定发放的奖金，包括机关工作人员年终一次性奖金、绩效奖金（基础绩效奖、年度绩效奖）等。</w:t>
      </w:r>
    </w:p>
    <w:p w14:paraId="5C8547B6">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94.工资福利支出（类）伙食补助费（款）:</w:t>
      </w:r>
      <w:r>
        <w:rPr>
          <w:rFonts w:hint="eastAsia" w:ascii="宋体" w:hAnsi="宋体" w:eastAsia="宋体" w:cs="宋体"/>
          <w:color w:val="000000"/>
          <w:sz w:val="24"/>
          <w:szCs w:val="24"/>
        </w:rPr>
        <w:t>反映单位发给职工的伙食补助费，因公负伤等住院治疗、住疗养院期间的伙食补助费，军队（含武警）人员的伙食费等。</w:t>
      </w:r>
    </w:p>
    <w:p w14:paraId="5C3A6B8E">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95.工资福利支出（类）绩效工资（款）:</w:t>
      </w:r>
      <w:r>
        <w:rPr>
          <w:rFonts w:hint="eastAsia" w:ascii="宋体" w:hAnsi="宋体" w:eastAsia="宋体" w:cs="宋体"/>
          <w:color w:val="000000"/>
          <w:sz w:val="24"/>
          <w:szCs w:val="24"/>
        </w:rPr>
        <w:t>反映事业单位工作人员的绩效工资。</w:t>
      </w:r>
    </w:p>
    <w:p w14:paraId="7689AB74">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96.工资福利支出（类）机关事业单位基本养老保险缴费（款）:</w:t>
      </w:r>
      <w:r>
        <w:rPr>
          <w:rFonts w:hint="eastAsia" w:ascii="宋体" w:hAnsi="宋体" w:eastAsia="宋体" w:cs="宋体"/>
          <w:color w:val="000000"/>
          <w:sz w:val="24"/>
          <w:szCs w:val="24"/>
        </w:rPr>
        <w:t>反映机关事业单位缴纳的基本养老保险费。由单位代扣的工作人员基本养老保险缴费，不在此科目反映。</w:t>
      </w:r>
    </w:p>
    <w:p w14:paraId="095B1662">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97.工资福利支出（类）职业年金缴费（款）:</w:t>
      </w:r>
      <w:r>
        <w:rPr>
          <w:rFonts w:hint="eastAsia" w:ascii="宋体" w:hAnsi="宋体" w:eastAsia="宋体" w:cs="宋体"/>
          <w:color w:val="000000"/>
          <w:sz w:val="24"/>
          <w:szCs w:val="24"/>
        </w:rPr>
        <w:t>反映机关事业单位实际缴纳的职业年金支出（含职业年金补记支出）。由单位代扣的工作人员职业年金缴费，不在此科目反映。</w:t>
      </w:r>
    </w:p>
    <w:p w14:paraId="02DF759E">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98.工资福利支出（类）职工基本医疗保险缴费（款）:</w:t>
      </w:r>
      <w:r>
        <w:rPr>
          <w:rFonts w:hint="eastAsia" w:ascii="宋体" w:hAnsi="宋体" w:eastAsia="宋体" w:cs="宋体"/>
          <w:color w:val="000000"/>
          <w:sz w:val="24"/>
          <w:szCs w:val="24"/>
        </w:rPr>
        <w:t>反映单位为职工缴纳的基本医疗保险（含生育保险）费。</w:t>
      </w:r>
    </w:p>
    <w:p w14:paraId="24250718">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99.工资福利支出（类）公务员医疗补助缴费（款）:</w:t>
      </w:r>
      <w:r>
        <w:rPr>
          <w:rFonts w:hint="eastAsia" w:ascii="宋体" w:hAnsi="宋体" w:eastAsia="宋体" w:cs="宋体"/>
          <w:color w:val="000000"/>
          <w:sz w:val="24"/>
          <w:szCs w:val="24"/>
        </w:rPr>
        <w:t>反映按规定可享受公务员医疗补助单位为职工缴纳的公务员医疗补助费。</w:t>
      </w:r>
    </w:p>
    <w:p w14:paraId="7380BFB4">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100.工资福利支出（类）其他社会保障缴费（款）:</w:t>
      </w:r>
      <w:r>
        <w:rPr>
          <w:rFonts w:hint="eastAsia" w:ascii="宋体" w:hAnsi="宋体" w:eastAsia="宋体" w:cs="宋体"/>
          <w:color w:val="000000"/>
          <w:sz w:val="24"/>
          <w:szCs w:val="24"/>
        </w:rPr>
        <w:t>反映单位为职工缴纳的失业、工伤等社会保险费，残疾人就业保障金，军队（含武警）为军人缴纳的退役养老、医疗等社会保险费。</w:t>
      </w:r>
    </w:p>
    <w:p w14:paraId="5D7D193B">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101.工资福利支出（类）住房公积金（款）:</w:t>
      </w:r>
      <w:r>
        <w:rPr>
          <w:rFonts w:hint="eastAsia" w:ascii="宋体" w:hAnsi="宋体" w:eastAsia="宋体" w:cs="宋体"/>
          <w:color w:val="000000"/>
          <w:sz w:val="24"/>
          <w:szCs w:val="24"/>
        </w:rPr>
        <w:t>反映单位按照规定为职工缴纳的住房公积金。</w:t>
      </w:r>
    </w:p>
    <w:p w14:paraId="5037D9EA">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102.工资福利支出（类）医疗费（款）:</w:t>
      </w:r>
      <w:r>
        <w:rPr>
          <w:rFonts w:hint="eastAsia" w:ascii="宋体" w:hAnsi="宋体" w:eastAsia="宋体" w:cs="宋体"/>
          <w:color w:val="000000"/>
          <w:sz w:val="24"/>
          <w:szCs w:val="24"/>
        </w:rPr>
        <w:t>反映未参加医疗保险单位的医疗经费和单位按规定为职工支出的其他医疗费用。</w:t>
      </w:r>
    </w:p>
    <w:p w14:paraId="75E5C54E">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103.工资福利支出（类）其他工资福利支出（款）:</w:t>
      </w:r>
      <w:r>
        <w:rPr>
          <w:rFonts w:hint="eastAsia" w:ascii="宋体" w:hAnsi="宋体" w:eastAsia="宋体" w:cs="宋体"/>
          <w:color w:val="000000"/>
          <w:sz w:val="24"/>
          <w:szCs w:val="24"/>
        </w:rPr>
        <w:t>反映上述科目未包括的工资福利支出，如各种加班工资、病假两个月以上期间的人员工资，职工探亲旅费，困难职工生活补助，编制外长期聘用人员（不包括劳务派遣人员）劳务报酬及社保缴费，公务员及参照公务员法管理的事业单位工作人员转入企业工作并按规定参加企业职工基本养老保险后给予的一次性补贴等。</w:t>
      </w:r>
    </w:p>
    <w:p w14:paraId="4030E410">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104.商品和服务支出（类）:</w:t>
      </w:r>
      <w:r>
        <w:rPr>
          <w:rFonts w:hint="eastAsia" w:ascii="宋体" w:hAnsi="宋体" w:eastAsia="宋体" w:cs="宋体"/>
          <w:color w:val="000000"/>
          <w:sz w:val="24"/>
          <w:szCs w:val="24"/>
        </w:rPr>
        <w:t>反映单位购买商品和服务的支出（不包括用于购置固定资产、战略性和应急性物资储备等资本性支出。）</w:t>
      </w:r>
    </w:p>
    <w:p w14:paraId="4AD0C338">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105.商品和服务支出（类）办公费（款）:</w:t>
      </w:r>
      <w:r>
        <w:rPr>
          <w:rFonts w:hint="eastAsia" w:ascii="宋体" w:hAnsi="宋体" w:eastAsia="宋体" w:cs="宋体"/>
          <w:color w:val="000000"/>
          <w:sz w:val="24"/>
          <w:szCs w:val="24"/>
        </w:rPr>
        <w:t>反映单位购日常办公用品、书报杂志等支出。</w:t>
      </w:r>
    </w:p>
    <w:p w14:paraId="7F176065">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106.商品和服务支出（类）印刷费（款）:</w:t>
      </w:r>
      <w:r>
        <w:rPr>
          <w:rFonts w:hint="eastAsia" w:ascii="宋体" w:hAnsi="宋体" w:eastAsia="宋体" w:cs="宋体"/>
          <w:color w:val="000000"/>
          <w:sz w:val="24"/>
          <w:szCs w:val="24"/>
        </w:rPr>
        <w:t>反映单位的印刷费支出。</w:t>
      </w:r>
    </w:p>
    <w:p w14:paraId="4CE86F4C">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107.商品和服务支出（类）咨询费（款）:</w:t>
      </w:r>
      <w:r>
        <w:rPr>
          <w:rFonts w:hint="eastAsia" w:ascii="宋体" w:hAnsi="宋体" w:eastAsia="宋体" w:cs="宋体"/>
          <w:color w:val="000000"/>
          <w:sz w:val="24"/>
          <w:szCs w:val="24"/>
        </w:rPr>
        <w:t>反映单位咨询方面的支出。</w:t>
      </w:r>
    </w:p>
    <w:p w14:paraId="359627A1">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108.商品和服务支出（类）手续费（款）:</w:t>
      </w:r>
      <w:r>
        <w:rPr>
          <w:rFonts w:hint="eastAsia" w:ascii="宋体" w:hAnsi="宋体" w:eastAsia="宋体" w:cs="宋体"/>
          <w:color w:val="000000"/>
          <w:sz w:val="24"/>
          <w:szCs w:val="24"/>
        </w:rPr>
        <w:t>反映单位支付的各类手续费支出。</w:t>
      </w:r>
    </w:p>
    <w:p w14:paraId="6738FD97">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109.商品和服务支出（类）水费（款）:</w:t>
      </w:r>
      <w:r>
        <w:rPr>
          <w:rFonts w:hint="eastAsia" w:ascii="宋体" w:hAnsi="宋体" w:eastAsia="宋体" w:cs="宋体"/>
          <w:color w:val="000000"/>
          <w:sz w:val="24"/>
          <w:szCs w:val="24"/>
        </w:rPr>
        <w:t>反映单位支付的水费、污水处理费等支出。</w:t>
      </w:r>
    </w:p>
    <w:p w14:paraId="719C24C2">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110.商品和服务支出（类）电费（款）:</w:t>
      </w:r>
      <w:r>
        <w:rPr>
          <w:rFonts w:hint="eastAsia" w:ascii="宋体" w:hAnsi="宋体" w:eastAsia="宋体" w:cs="宋体"/>
          <w:color w:val="000000"/>
          <w:sz w:val="24"/>
          <w:szCs w:val="24"/>
        </w:rPr>
        <w:t>反映单位的电费支出。</w:t>
      </w:r>
    </w:p>
    <w:p w14:paraId="33FBDCC2">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111.商品和服务支出（类）邮电费（款）:</w:t>
      </w:r>
      <w:r>
        <w:rPr>
          <w:rFonts w:hint="eastAsia" w:ascii="宋体" w:hAnsi="宋体" w:eastAsia="宋体" w:cs="宋体"/>
          <w:color w:val="000000"/>
          <w:sz w:val="24"/>
          <w:szCs w:val="24"/>
        </w:rPr>
        <w:t>反映单位开支的信函、包裹、货物等物品的邮寄费及电话费、电报费、传真费、网络通讯费等。</w:t>
      </w:r>
    </w:p>
    <w:p w14:paraId="310532FA">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112.商品和服务支出（类）取暖费（款）:</w:t>
      </w:r>
      <w:r>
        <w:rPr>
          <w:rFonts w:hint="eastAsia" w:ascii="宋体" w:hAnsi="宋体" w:eastAsia="宋体" w:cs="宋体"/>
          <w:color w:val="000000"/>
          <w:sz w:val="24"/>
          <w:szCs w:val="24"/>
        </w:rPr>
        <w:t>反映单位取暖用燃料费、热力费、炉具购置费、锅炉临时工的工资、节煤奖以及由单位支付的未实行职工住房采暖补贴改革的在职职工和离退休人员宿舍取暖费等。</w:t>
      </w:r>
    </w:p>
    <w:p w14:paraId="45AAEAE5">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113.商品和服务支出（类）物业管理费（款）:</w:t>
      </w:r>
      <w:r>
        <w:rPr>
          <w:rFonts w:hint="eastAsia" w:ascii="宋体" w:hAnsi="宋体" w:eastAsia="宋体" w:cs="宋体"/>
          <w:color w:val="000000"/>
          <w:sz w:val="24"/>
          <w:szCs w:val="24"/>
        </w:rPr>
        <w:t>反映单位开支的办公用房以及未实行职工住宅物业服务改革的在职职工和离退休人员宿舍等的物业管理费，包括综合治理、绿化、卫生等方面的支出。</w:t>
      </w:r>
    </w:p>
    <w:p w14:paraId="14CA661C">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114.商品和服务支出（类）差旅费（款）:</w:t>
      </w:r>
      <w:r>
        <w:rPr>
          <w:rFonts w:hint="eastAsia" w:ascii="宋体" w:hAnsi="宋体" w:eastAsia="宋体" w:cs="宋体"/>
          <w:color w:val="000000"/>
          <w:sz w:val="24"/>
          <w:szCs w:val="24"/>
        </w:rPr>
        <w:t>反映单位工作人员国（境）内出差发生的城市间交通费、住宿费、伙食补助费和市内交通费。</w:t>
      </w:r>
    </w:p>
    <w:p w14:paraId="14C54020">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115.商品和服务支出（类）因公出国（境）费用（款）:</w:t>
      </w:r>
      <w:r>
        <w:rPr>
          <w:rFonts w:hint="eastAsia" w:ascii="宋体" w:hAnsi="宋体" w:eastAsia="宋体" w:cs="宋体"/>
          <w:color w:val="000000"/>
          <w:sz w:val="24"/>
          <w:szCs w:val="24"/>
        </w:rPr>
        <w:t>反映单位工作人员公务出国（境）的国际旅费、国外城市间的交通费、住宿费、伙食费、培训费、公杂费等支出。</w:t>
      </w:r>
    </w:p>
    <w:p w14:paraId="6CEBDFB9">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116.商品和服务支出（类）维修（护）费（款）:</w:t>
      </w:r>
      <w:r>
        <w:rPr>
          <w:rFonts w:hint="eastAsia" w:ascii="宋体" w:hAnsi="宋体" w:eastAsia="宋体" w:cs="宋体"/>
          <w:color w:val="000000"/>
          <w:sz w:val="24"/>
          <w:szCs w:val="24"/>
        </w:rPr>
        <w:t>反映单位日常开支的固定资产（不包括车船等交通工具）修理和维护费用，网络信息系统运行与维护费用，以及按规定提取的修购基金。</w:t>
      </w:r>
    </w:p>
    <w:p w14:paraId="10C8432A">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117.商品和服务支出（类）租赁费（款）:</w:t>
      </w:r>
      <w:r>
        <w:rPr>
          <w:rFonts w:hint="eastAsia" w:ascii="宋体" w:hAnsi="宋体" w:eastAsia="宋体" w:cs="宋体"/>
          <w:color w:val="000000"/>
          <w:sz w:val="24"/>
          <w:szCs w:val="24"/>
        </w:rPr>
        <w:t>反映租赁办公用房、宿舍、专用通讯网以及其他设备等方面的费用。</w:t>
      </w:r>
    </w:p>
    <w:p w14:paraId="49CEAC69">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118.商品和服务支出（类）会议费（款）:</w:t>
      </w:r>
      <w:r>
        <w:rPr>
          <w:rFonts w:hint="eastAsia" w:ascii="宋体" w:hAnsi="宋体" w:eastAsia="宋体" w:cs="宋体"/>
          <w:color w:val="000000"/>
          <w:sz w:val="24"/>
          <w:szCs w:val="24"/>
        </w:rPr>
        <w:t>反映会议期间按规定开支的住宿费、伙食费、会议场地租金、交通费、文件印刷费、医药费等。</w:t>
      </w:r>
    </w:p>
    <w:p w14:paraId="39F039FC">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119.商品和服务支出（类）培训费（款）:</w:t>
      </w:r>
      <w:r>
        <w:rPr>
          <w:rFonts w:hint="eastAsia" w:ascii="宋体" w:hAnsi="宋体" w:eastAsia="宋体" w:cs="宋体"/>
          <w:color w:val="000000"/>
          <w:sz w:val="24"/>
          <w:szCs w:val="24"/>
        </w:rPr>
        <w:t>反映除因公出国（境）培训费以外的，在培训期间发生的师资费、住宿费、伙食费、培训场地费、培训资料费、交通费等各类培训费用。</w:t>
      </w:r>
    </w:p>
    <w:p w14:paraId="4D39D202">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120.商品和服务支出（类）公务接待费（款）:</w:t>
      </w:r>
      <w:r>
        <w:rPr>
          <w:rFonts w:hint="eastAsia" w:ascii="宋体" w:hAnsi="宋体" w:eastAsia="宋体" w:cs="宋体"/>
          <w:color w:val="000000"/>
          <w:sz w:val="24"/>
          <w:szCs w:val="24"/>
        </w:rPr>
        <w:t>反映单位按规定开支的各类公务接待（含外宾接待）费用。</w:t>
      </w:r>
    </w:p>
    <w:p w14:paraId="6FA3FECA">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121.商品和服务支出（类）专用材料费（款）:</w:t>
      </w:r>
      <w:r>
        <w:rPr>
          <w:rFonts w:hint="eastAsia" w:ascii="宋体" w:hAnsi="宋体" w:eastAsia="宋体" w:cs="宋体"/>
          <w:color w:val="000000"/>
          <w:sz w:val="24"/>
          <w:szCs w:val="24"/>
        </w:rPr>
        <w:t>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14:paraId="7149D31B">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122.商品和服务支出（类）专用燃料费（款）:</w:t>
      </w:r>
      <w:r>
        <w:rPr>
          <w:rFonts w:hint="eastAsia" w:ascii="宋体" w:hAnsi="宋体" w:eastAsia="宋体" w:cs="宋体"/>
          <w:color w:val="000000"/>
          <w:sz w:val="24"/>
          <w:szCs w:val="24"/>
        </w:rPr>
        <w:t>反映用作业务工作设备的车（不含公务用车）、船设施等的油料支出。</w:t>
      </w:r>
    </w:p>
    <w:p w14:paraId="3BAAC40D">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123.商品和服务支出（类）劳务费（款）:</w:t>
      </w:r>
      <w:r>
        <w:rPr>
          <w:rFonts w:hint="eastAsia" w:ascii="宋体" w:hAnsi="宋体" w:eastAsia="宋体" w:cs="宋体"/>
          <w:color w:val="000000"/>
          <w:sz w:val="24"/>
          <w:szCs w:val="24"/>
        </w:rPr>
        <w:t>反映支付给外单位和个人的劳务费用，如临时聘用人员、钟点工工资，稿费、翻译费，评审费等。</w:t>
      </w:r>
    </w:p>
    <w:p w14:paraId="66D23E93">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124.商品和服务支出（类）委托业务费（款）:</w:t>
      </w:r>
      <w:r>
        <w:rPr>
          <w:rFonts w:hint="eastAsia" w:ascii="宋体" w:hAnsi="宋体" w:eastAsia="宋体" w:cs="宋体"/>
          <w:color w:val="000000"/>
          <w:sz w:val="24"/>
          <w:szCs w:val="24"/>
        </w:rPr>
        <w:t>反映因委托外单位办理业务而支付的委托业务费。</w:t>
      </w:r>
    </w:p>
    <w:p w14:paraId="23588F27">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125.商品和服务支出（类）工会经费（款）:</w:t>
      </w:r>
      <w:r>
        <w:rPr>
          <w:rFonts w:hint="eastAsia" w:ascii="宋体" w:hAnsi="宋体" w:eastAsia="宋体" w:cs="宋体"/>
          <w:color w:val="000000"/>
          <w:sz w:val="24"/>
          <w:szCs w:val="24"/>
        </w:rPr>
        <w:t>反映单位按规定提取或安排的工会经费。</w:t>
      </w:r>
    </w:p>
    <w:p w14:paraId="17F6B111">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126.商品和服务支出（类）福利费（款）:</w:t>
      </w:r>
      <w:r>
        <w:rPr>
          <w:rFonts w:hint="eastAsia" w:ascii="宋体" w:hAnsi="宋体" w:eastAsia="宋体" w:cs="宋体"/>
          <w:color w:val="000000"/>
          <w:sz w:val="24"/>
          <w:szCs w:val="24"/>
        </w:rPr>
        <w:t>反映单位按规定提取的职工福利费。</w:t>
      </w:r>
    </w:p>
    <w:p w14:paraId="380C3857">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127.商品和服务支出（类）公务用车运行维护费（款）:</w:t>
      </w:r>
      <w:r>
        <w:rPr>
          <w:rFonts w:hint="eastAsia" w:ascii="宋体" w:hAnsi="宋体" w:eastAsia="宋体" w:cs="宋体"/>
          <w:color w:val="000000"/>
          <w:sz w:val="24"/>
          <w:szCs w:val="24"/>
        </w:rPr>
        <w:t>反映单位按规定保留的公务用车的燃料费、维修费、过桥过路费、保险费、安全奖励费用等支出。</w:t>
      </w:r>
    </w:p>
    <w:p w14:paraId="32E800CE">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128.商品和服务支出（类）其他交通费用（款）:</w:t>
      </w:r>
      <w:r>
        <w:rPr>
          <w:rFonts w:hint="eastAsia" w:ascii="宋体" w:hAnsi="宋体" w:eastAsia="宋体" w:cs="宋体"/>
          <w:color w:val="000000"/>
          <w:sz w:val="24"/>
          <w:szCs w:val="24"/>
        </w:rPr>
        <w:t>反映单位除公务用车运行维护费以外的其他交通费用。如公务交通补贴、租车费用、出租车费用、飞机、船舶等的燃料费、维修费、保险费等。</w:t>
      </w:r>
    </w:p>
    <w:p w14:paraId="28697E93">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129.商品和服务支出（类）税金及附加费用（款）:</w:t>
      </w:r>
      <w:r>
        <w:rPr>
          <w:rFonts w:hint="eastAsia" w:ascii="宋体" w:hAnsi="宋体" w:eastAsia="宋体" w:cs="宋体"/>
          <w:color w:val="000000"/>
          <w:sz w:val="24"/>
          <w:szCs w:val="24"/>
        </w:rPr>
        <w:t>反映单位提供劳务或销售产品应负担的税金及附加费用。包括消费税、城市维护建设税、资源税和教育费附加等。</w:t>
      </w:r>
    </w:p>
    <w:p w14:paraId="205B1BA9">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130.商品和服务支出（类）其他商品和服务支出（款）:</w:t>
      </w:r>
      <w:r>
        <w:rPr>
          <w:rFonts w:hint="eastAsia" w:ascii="宋体" w:hAnsi="宋体" w:eastAsia="宋体" w:cs="宋体"/>
          <w:color w:val="000000"/>
          <w:sz w:val="24"/>
          <w:szCs w:val="24"/>
        </w:rPr>
        <w:t>反映上述科目未包括的日常公用支出。如诉讼费、国内组织的会员费、来访费、广告宣传费及离退休人员特需费、离退休人员公用经费等。</w:t>
      </w:r>
    </w:p>
    <w:p w14:paraId="7110242C">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131.对个人和家庭的补助（类）:</w:t>
      </w:r>
      <w:r>
        <w:rPr>
          <w:rFonts w:hint="eastAsia" w:ascii="宋体" w:hAnsi="宋体" w:eastAsia="宋体" w:cs="宋体"/>
          <w:color w:val="000000"/>
          <w:sz w:val="24"/>
          <w:szCs w:val="24"/>
        </w:rPr>
        <w:t>反映政府用于对个人和家庭的补助支出。</w:t>
      </w:r>
    </w:p>
    <w:p w14:paraId="55DF9538">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132.对个人和家庭的补助（类）离休费（款）:</w:t>
      </w:r>
      <w:r>
        <w:rPr>
          <w:rFonts w:hint="eastAsia" w:ascii="宋体" w:hAnsi="宋体" w:eastAsia="宋体" w:cs="宋体"/>
          <w:color w:val="000000"/>
          <w:sz w:val="24"/>
          <w:szCs w:val="24"/>
        </w:rPr>
        <w:t>反映机关事业单位和军队移交政府安置的离休人员的离休费、护理费以及提租补贴、购房补贴、采暖补贴、物业服务补贴等补贴。</w:t>
      </w:r>
    </w:p>
    <w:p w14:paraId="6C67E6B5">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133.对个人和家庭的补助（类）退休费（款）:</w:t>
      </w:r>
      <w:r>
        <w:rPr>
          <w:rFonts w:hint="eastAsia" w:ascii="宋体" w:hAnsi="宋体" w:eastAsia="宋体" w:cs="宋体"/>
          <w:color w:val="000000"/>
          <w:sz w:val="24"/>
          <w:szCs w:val="24"/>
        </w:rPr>
        <w:t>反映机关事业单位和军队移交政府安置的退休人员的退休费以及提租补贴、购房补贴、采暖补贴、物业服务补贴等补贴。</w:t>
      </w:r>
    </w:p>
    <w:p w14:paraId="0ECE5490">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134.对个人和家庭的补助（类）退职（役）费（款）:</w:t>
      </w:r>
      <w:r>
        <w:rPr>
          <w:rFonts w:hint="eastAsia" w:ascii="宋体" w:hAnsi="宋体" w:eastAsia="宋体" w:cs="宋体"/>
          <w:color w:val="000000"/>
          <w:sz w:val="24"/>
          <w:szCs w:val="24"/>
        </w:rPr>
        <w:t>反映机关事业单位退职人员的生活补贴，一次性支付给职工或军官、军队无军籍退职职工、运动员的退职补助，一次性支付给军官、文职干部、士官、义务兵的退役费，按月支付给自主择业的军队转业干部的退役金。</w:t>
      </w:r>
    </w:p>
    <w:p w14:paraId="0B6A813D">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135.对个人和家庭的补助（类）抚恤金（款）:</w:t>
      </w:r>
      <w:r>
        <w:rPr>
          <w:rFonts w:hint="eastAsia" w:ascii="宋体" w:hAnsi="宋体" w:eastAsia="宋体" w:cs="宋体"/>
          <w:color w:val="000000"/>
          <w:sz w:val="24"/>
          <w:szCs w:val="24"/>
        </w:rPr>
        <w:t>反映按规定开支的烈士遗属、牺牲病故人员遗属的一次性和定期抚恤金，伤残人员的抚恤金，离退休人员等其他人员的各项抚恤金，以及按规定开支的机关事业单位职工和离退休人员丧葬费。</w:t>
      </w:r>
    </w:p>
    <w:p w14:paraId="2F92D34A">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136.对个人和家庭的补助（类）生活补助（款）:</w:t>
      </w:r>
      <w:r>
        <w:rPr>
          <w:rFonts w:hint="eastAsia" w:ascii="宋体" w:hAnsi="宋体" w:eastAsia="宋体" w:cs="宋体"/>
          <w:color w:val="000000"/>
          <w:sz w:val="24"/>
          <w:szCs w:val="24"/>
        </w:rPr>
        <w:t>反映按规定开支的优抚对象定期定量生活补助费，退役军人生活补助费，机关事业单位职工和遗属生活补助，长期赡养人员补助费，由于国家实行退耕还林禁牧舍饲政策补偿给农牧民的现金、粮食支出，对农村党员、复员军人以及村干部的补助支出，罪犯、戒毒人员的伙食费、被服费、医疗卫生费等。</w:t>
      </w:r>
    </w:p>
    <w:p w14:paraId="02572967">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137.对个人和家庭的补助（类）医疗费补助（款）:</w:t>
      </w:r>
      <w:r>
        <w:rPr>
          <w:rFonts w:hint="eastAsia" w:ascii="宋体" w:hAnsi="宋体" w:eastAsia="宋体" w:cs="宋体"/>
          <w:color w:val="000000"/>
          <w:sz w:val="24"/>
          <w:szCs w:val="24"/>
        </w:rPr>
        <w:t>反映机关事业单位和军队移交政府安置的离退休人员的医疗费，学生医疗费，优抚对象医疗补助，按国家规定资助居民参加城乡居民医疗保险的支出，对城乡贫困家庭的医疗救助支出。</w:t>
      </w:r>
    </w:p>
    <w:p w14:paraId="12037D5D">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138.对个人和家庭的补助（类）奖励金（款）:</w:t>
      </w:r>
      <w:r>
        <w:rPr>
          <w:rFonts w:hint="eastAsia" w:ascii="宋体" w:hAnsi="宋体" w:eastAsia="宋体" w:cs="宋体"/>
          <w:color w:val="000000"/>
          <w:sz w:val="24"/>
          <w:szCs w:val="24"/>
        </w:rPr>
        <w:t>反映对个体私营经济的奖励、计划生育目标责任奖励、独生子女父母奖励等。</w:t>
      </w:r>
    </w:p>
    <w:p w14:paraId="18330157">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139.对个人和家庭的补助（类）其他对个人和家庭的补助（款）:</w:t>
      </w:r>
      <w:r>
        <w:rPr>
          <w:rFonts w:hint="eastAsia" w:ascii="宋体" w:hAnsi="宋体" w:eastAsia="宋体" w:cs="宋体"/>
          <w:color w:val="000000"/>
          <w:sz w:val="24"/>
          <w:szCs w:val="24"/>
        </w:rPr>
        <w:t>反映未包括在上述科目的对个人和家庭的补助支出，如婴幼儿补贴、退职人员及随行家属路费、符合条件的退役回乡义务兵一次性建房补助、符合安置条件的城镇退役士兵自谋职业的一次性经济补助费、保障性住房租金补贴等。</w:t>
      </w:r>
    </w:p>
    <w:p w14:paraId="366C25D1">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140.资本性支出（类）:</w:t>
      </w:r>
      <w:r>
        <w:rPr>
          <w:rFonts w:hint="eastAsia" w:ascii="宋体" w:hAnsi="宋体" w:eastAsia="宋体" w:cs="宋体"/>
          <w:color w:val="000000"/>
          <w:sz w:val="24"/>
          <w:szCs w:val="24"/>
        </w:rPr>
        <w:t>反映各单位安排的资本性支出。切块由发展改革部门安排的基本建设支出不在此科目反映。</w:t>
      </w:r>
    </w:p>
    <w:p w14:paraId="18900980">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141.资本性支出（类）房屋建筑物购建（款）:</w:t>
      </w:r>
      <w:r>
        <w:rPr>
          <w:rFonts w:hint="eastAsia" w:ascii="宋体" w:hAnsi="宋体" w:eastAsia="宋体" w:cs="宋体"/>
          <w:color w:val="000000"/>
          <w:sz w:val="24"/>
          <w:szCs w:val="24"/>
        </w:rPr>
        <w:t>反映用于购买、自行建造办公用房、仓库、职工生活用房、教学科研用房、学生宿舍、食堂等建筑物（含附属设施，如电梯、通讯线路、水气管道等）的支出。</w:t>
      </w:r>
    </w:p>
    <w:p w14:paraId="0E41FE87">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142.资本性支出（类）办公设备购置（款）:</w:t>
      </w:r>
      <w:r>
        <w:rPr>
          <w:rFonts w:hint="eastAsia" w:ascii="宋体" w:hAnsi="宋体" w:eastAsia="宋体" w:cs="宋体"/>
          <w:color w:val="000000"/>
          <w:sz w:val="24"/>
          <w:szCs w:val="24"/>
        </w:rPr>
        <w:t>反映用于购置并按财务会计制度规定纳入固定资产核算范围的办公家具和办公设备的支出,以及按规定提取的修购基金。</w:t>
      </w:r>
    </w:p>
    <w:p w14:paraId="3CF21F7F">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143.资本性支出（类）专用设备购置（款）:</w:t>
      </w:r>
      <w:r>
        <w:rPr>
          <w:rFonts w:hint="eastAsia" w:ascii="宋体" w:hAnsi="宋体" w:eastAsia="宋体" w:cs="宋体"/>
          <w:color w:val="000000"/>
          <w:sz w:val="24"/>
          <w:szCs w:val="24"/>
        </w:rPr>
        <w:t>反映用于购置具有专门用途、并按财务会计制度规定纳入固定资产核算范围的各类专用设备的支出。如通信设备、发电设备、交通监控设备、卫星转发器、气象设备、进出口监管设备等,以及按规定提取的修购基金。</w:t>
      </w:r>
    </w:p>
    <w:p w14:paraId="4792D96C">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144.资本性支出（类）基础设施建设（款）:</w:t>
      </w:r>
      <w:r>
        <w:rPr>
          <w:rFonts w:hint="eastAsia" w:ascii="宋体" w:hAnsi="宋体" w:eastAsia="宋体" w:cs="宋体"/>
          <w:color w:val="000000"/>
          <w:sz w:val="24"/>
          <w:szCs w:val="24"/>
        </w:rPr>
        <w:t>反映用于农田设施、道路、铁路、桥梁、水坝和机场、车站、码头等公共基础设施建设方面的支出。</w:t>
      </w:r>
    </w:p>
    <w:p w14:paraId="439FB76B">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145.资本性支出（类）大型修缮（款）:</w:t>
      </w:r>
      <w:r>
        <w:rPr>
          <w:rFonts w:hint="eastAsia" w:ascii="宋体" w:hAnsi="宋体" w:eastAsia="宋体" w:cs="宋体"/>
          <w:color w:val="000000"/>
          <w:sz w:val="24"/>
          <w:szCs w:val="24"/>
        </w:rPr>
        <w:t>反映按财务会计制度规定允许资本化的各类设备、建筑物、公共基础设施等大型修缮的支出。</w:t>
      </w:r>
    </w:p>
    <w:p w14:paraId="45788741">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146.资本性支出（类）信息网络及软件购置更新（款）:</w:t>
      </w:r>
      <w:r>
        <w:rPr>
          <w:rFonts w:hint="eastAsia" w:ascii="宋体" w:hAnsi="宋体" w:eastAsia="宋体" w:cs="宋体"/>
          <w:color w:val="000000"/>
          <w:sz w:val="24"/>
          <w:szCs w:val="24"/>
        </w:rPr>
        <w:t>反映用于信息网络和软件方面的支出。如服务器购置、软件购置、开发、应用支出等，如果购置的相关硬件、软件等不符合财务会计制度规定的固定资产确认标准的，不在此科目反映。</w:t>
      </w:r>
    </w:p>
    <w:p w14:paraId="66EEF270">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147.资本性支出（类）公务用车购置（款）:</w:t>
      </w:r>
      <w:r>
        <w:rPr>
          <w:rFonts w:hint="eastAsia" w:ascii="宋体" w:hAnsi="宋体" w:eastAsia="宋体" w:cs="宋体"/>
          <w:color w:val="000000"/>
          <w:sz w:val="24"/>
          <w:szCs w:val="24"/>
        </w:rPr>
        <w:t>反映公务用车车辆购置支出（含车辆购置税、牌照费）。</w:t>
      </w:r>
    </w:p>
    <w:p w14:paraId="793D0CC0">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148.资本性支出（类）无形资产购置（款）:</w:t>
      </w:r>
      <w:r>
        <w:rPr>
          <w:rFonts w:hint="eastAsia" w:ascii="宋体" w:hAnsi="宋体" w:eastAsia="宋体" w:cs="宋体"/>
          <w:color w:val="000000"/>
          <w:sz w:val="24"/>
          <w:szCs w:val="24"/>
        </w:rPr>
        <w:t>反映著作权、商标权、专利权、土地使用权等无形资产购置支出。软件购置、开发、应用支出不在此科目反映。</w:t>
      </w:r>
    </w:p>
    <w:p w14:paraId="39B57828">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149.资本性支出（类）其他资本性支出（款）:</w:t>
      </w:r>
      <w:r>
        <w:rPr>
          <w:rFonts w:hint="eastAsia" w:ascii="宋体" w:hAnsi="宋体" w:eastAsia="宋体" w:cs="宋体"/>
          <w:color w:val="000000"/>
          <w:sz w:val="24"/>
          <w:szCs w:val="24"/>
        </w:rPr>
        <w:t>反映上述科目中未包括的资本性支出。</w:t>
      </w:r>
    </w:p>
    <w:p w14:paraId="0FFAF512">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150.其他支出（类）:</w:t>
      </w:r>
      <w:r>
        <w:rPr>
          <w:rFonts w:hint="eastAsia" w:ascii="宋体" w:hAnsi="宋体" w:eastAsia="宋体" w:cs="宋体"/>
          <w:color w:val="000000"/>
          <w:sz w:val="24"/>
          <w:szCs w:val="24"/>
        </w:rPr>
        <w:t>反映不能划分到上述经济科目的其他支出。</w:t>
      </w:r>
    </w:p>
    <w:p w14:paraId="7BCC0ECD">
      <w:pPr>
        <w:spacing w:before="100" w:after="100"/>
        <w:ind w:firstLine="482" w:firstLineChars="200"/>
        <w:jc w:val="left"/>
        <w:rPr>
          <w:rFonts w:hint="eastAsia" w:ascii="宋体" w:hAnsi="宋体" w:eastAsia="宋体" w:cs="宋体"/>
          <w:color w:val="000000"/>
          <w:sz w:val="24"/>
          <w:szCs w:val="24"/>
        </w:rPr>
      </w:pPr>
      <w:r>
        <w:rPr>
          <w:rFonts w:hint="eastAsia" w:ascii="宋体" w:hAnsi="宋体" w:eastAsia="宋体" w:cs="宋体"/>
          <w:b/>
          <w:color w:val="000000"/>
          <w:sz w:val="24"/>
          <w:szCs w:val="24"/>
        </w:rPr>
        <w:t>151.其他支出（类）其他支出（款）:</w:t>
      </w:r>
      <w:r>
        <w:rPr>
          <w:rFonts w:hint="eastAsia" w:ascii="宋体" w:hAnsi="宋体" w:eastAsia="宋体" w:cs="宋体"/>
          <w:color w:val="000000"/>
          <w:sz w:val="24"/>
          <w:szCs w:val="24"/>
        </w:rPr>
        <w:t>反映除上述项目以外的其他支出。</w:t>
      </w:r>
    </w:p>
    <w:p w14:paraId="67F84A23">
      <w:pPr>
        <w:spacing w:before="100" w:after="100"/>
        <w:ind w:firstLine="480" w:firstLineChars="200"/>
        <w:jc w:val="left"/>
        <w:rPr>
          <w:rFonts w:hint="eastAsia" w:ascii="宋体" w:hAnsi="宋体" w:eastAsia="宋体" w:cs="宋体"/>
          <w:color w:val="000000"/>
          <w:sz w:val="24"/>
          <w:szCs w:val="24"/>
        </w:rPr>
      </w:pPr>
      <w:r>
        <w:rPr>
          <w:rFonts w:hint="eastAsia" w:ascii="宋体" w:hAnsi="宋体" w:eastAsia="宋体" w:cs="宋体"/>
          <w:color w:val="auto"/>
          <w:sz w:val="24"/>
          <w:szCs w:val="24"/>
          <w:lang w:val="zh-CN"/>
        </w:rPr>
        <w:t>附件：1.202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年度部门决算公开表</w:t>
      </w:r>
      <w:r>
        <w:rPr>
          <w:rFonts w:hint="eastAsia" w:ascii="宋体" w:hAnsi="宋体" w:cs="宋体"/>
          <w:color w:val="auto"/>
          <w:sz w:val="24"/>
          <w:szCs w:val="24"/>
          <w:lang w:val="zh-CN"/>
        </w:rPr>
        <w:t>（</w:t>
      </w:r>
      <w:r>
        <w:rPr>
          <w:rFonts w:hint="eastAsia" w:ascii="宋体" w:hAnsi="宋体" w:cs="宋体"/>
          <w:color w:val="auto"/>
          <w:sz w:val="24"/>
          <w:szCs w:val="24"/>
          <w:lang w:val="en-US" w:eastAsia="zh-CN"/>
        </w:rPr>
        <w:t>宣教中心</w:t>
      </w:r>
      <w:r>
        <w:rPr>
          <w:rFonts w:hint="eastAsia" w:ascii="宋体" w:hAnsi="宋体" w:cs="宋体"/>
          <w:color w:val="auto"/>
          <w:sz w:val="24"/>
          <w:szCs w:val="24"/>
          <w:lang w:val="zh-CN"/>
        </w:rPr>
        <w:t>）</w:t>
      </w: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NDY0ZTg1YTJkMTMxM2M5YzVmNDg3YWQ2MmYzOTEifQ=="/>
  </w:docVars>
  <w:rsids>
    <w:rsidRoot w:val="00E343F1"/>
    <w:rsid w:val="00170937"/>
    <w:rsid w:val="001931D3"/>
    <w:rsid w:val="001A71FF"/>
    <w:rsid w:val="001C4397"/>
    <w:rsid w:val="005370A0"/>
    <w:rsid w:val="005B4817"/>
    <w:rsid w:val="005B75BD"/>
    <w:rsid w:val="007175FF"/>
    <w:rsid w:val="007D115A"/>
    <w:rsid w:val="008A37CD"/>
    <w:rsid w:val="008F6A23"/>
    <w:rsid w:val="0097271A"/>
    <w:rsid w:val="009B6BAA"/>
    <w:rsid w:val="009F5038"/>
    <w:rsid w:val="00AB53E6"/>
    <w:rsid w:val="00B07678"/>
    <w:rsid w:val="00C33F66"/>
    <w:rsid w:val="00CD76E9"/>
    <w:rsid w:val="00E343F1"/>
    <w:rsid w:val="09025EC2"/>
    <w:rsid w:val="104651B1"/>
    <w:rsid w:val="1CAC1956"/>
    <w:rsid w:val="1D7473B0"/>
    <w:rsid w:val="26E354DA"/>
    <w:rsid w:val="48E629B4"/>
    <w:rsid w:val="4ECB38F5"/>
    <w:rsid w:val="59A867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val="0"/>
      <w:spacing w:beforeAutospacing="1" w:afterAutospacing="1"/>
      <w:jc w:val="left"/>
    </w:pPr>
    <w:rPr>
      <w:rFonts w:cs="Times New Roman" w:eastAsiaTheme="minorEastAsia"/>
      <w:kern w:val="0"/>
      <w:sz w:val="24"/>
      <w:szCs w:val="24"/>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0.xml"/><Relationship Id="rId12" Type="http://schemas.openxmlformats.org/officeDocument/2006/relationships/customXml" Target="../customXml/item9.xml"/><Relationship Id="rId11" Type="http://schemas.openxmlformats.org/officeDocument/2006/relationships/customXml" Target="../customXml/item8.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10.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3.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6.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94A4F-1016-45BA-8932-CBFDC9BB19DF}">
  <ds:schemaRefs/>
</ds:datastoreItem>
</file>

<file path=customXml/itemProps10.xml><?xml version="1.0" encoding="utf-8"?>
<ds:datastoreItem xmlns:ds="http://schemas.openxmlformats.org/officeDocument/2006/customXml" ds:itemID="{E9280502-5301-477B-AA34-C8F02D48F614}">
  <ds:schemaRefs/>
</ds:datastoreItem>
</file>

<file path=customXml/itemProps2.xml><?xml version="1.0" encoding="utf-8"?>
<ds:datastoreItem xmlns:ds="http://schemas.openxmlformats.org/officeDocument/2006/customXml" ds:itemID="{C68AF2C2-F124-4EE2-A53A-0756C10D4939}">
  <ds:schemaRefs/>
</ds:datastoreItem>
</file>

<file path=customXml/itemProps3.xml><?xml version="1.0" encoding="utf-8"?>
<ds:datastoreItem xmlns:ds="http://schemas.openxmlformats.org/officeDocument/2006/customXml" ds:itemID="{A4574C6F-CAB4-41D5-AB0C-F2E19B46D226}">
  <ds:schemaRefs/>
</ds:datastoreItem>
</file>

<file path=customXml/itemProps4.xml><?xml version="1.0" encoding="utf-8"?>
<ds:datastoreItem xmlns:ds="http://schemas.openxmlformats.org/officeDocument/2006/customXml" ds:itemID="{4E279F47-2CC3-4555-A162-4F97D7C5DA24}">
  <ds:schemaRefs/>
</ds:datastoreItem>
</file>

<file path=customXml/itemProps5.xml><?xml version="1.0" encoding="utf-8"?>
<ds:datastoreItem xmlns:ds="http://schemas.openxmlformats.org/officeDocument/2006/customXml" ds:itemID="{CCC58342-A888-47F0-9673-C3D85D18E9D9}">
  <ds:schemaRefs/>
</ds:datastoreItem>
</file>

<file path=customXml/itemProps6.xml><?xml version="1.0" encoding="utf-8"?>
<ds:datastoreItem xmlns:ds="http://schemas.openxmlformats.org/officeDocument/2006/customXml" ds:itemID="{84414846-B079-46D5-AC69-B9676DD5F784}">
  <ds:schemaRefs/>
</ds:datastoreItem>
</file>

<file path=customXml/itemProps7.xml><?xml version="1.0" encoding="utf-8"?>
<ds:datastoreItem xmlns:ds="http://schemas.openxmlformats.org/officeDocument/2006/customXml" ds:itemID="{458EABAB-0178-4DDD-B1D6-39F70DA062AB}">
  <ds:schemaRefs/>
</ds:datastoreItem>
</file>

<file path=customXml/itemProps8.xml><?xml version="1.0" encoding="utf-8"?>
<ds:datastoreItem xmlns:ds="http://schemas.openxmlformats.org/officeDocument/2006/customXml" ds:itemID="{5D4FE24D-7F84-428C-A9AE-2BC2EA3ECDB9}">
  <ds:schemaRefs/>
</ds:datastoreItem>
</file>

<file path=customXml/itemProps9.xml><?xml version="1.0" encoding="utf-8"?>
<ds:datastoreItem xmlns:ds="http://schemas.openxmlformats.org/officeDocument/2006/customXml" ds:itemID="{5BE03285-757A-4DB6-A4E5-F987AFD03654}">
  <ds:schemaRefs/>
</ds:datastoreItem>
</file>

<file path=docProps/app.xml><?xml version="1.0" encoding="utf-8"?>
<Properties xmlns="http://schemas.openxmlformats.org/officeDocument/2006/extended-properties" xmlns:vt="http://schemas.openxmlformats.org/officeDocument/2006/docPropsVTypes">
  <Template>Normal</Template>
  <Pages>18</Pages>
  <Words>14058</Words>
  <Characters>14999</Characters>
  <Lines>46</Lines>
  <Paragraphs>12</Paragraphs>
  <TotalTime>3</TotalTime>
  <ScaleCrop>false</ScaleCrop>
  <LinksUpToDate>false</LinksUpToDate>
  <CharactersWithSpaces>15033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2023-08-11T07:40:00Z</dcterms:created>
  <dc:creator>O.L.Problem without you</dc:creator>
  <cp:lastModifiedBy>徆</cp:lastModifiedBy>
  <dcterms:modified xsi:type="dcterms:W3CDTF">2024-09-04T02:51:22Z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1149E88785AC452583981995CC6BE9BA_13</vt:lpwstr>
  </property>
</Properties>
</file>